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val="0"/>
        <w:snapToGrid w:val="0"/>
        <w:spacing w:before="0" w:after="0" w:line="240" w:lineRule="auto"/>
        <w:ind w:right="0" w:rightChars="0" w:firstLine="422"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纯电动</w:t>
      </w:r>
      <w:r>
        <w:rPr>
          <w:rFonts w:hint="eastAsia" w:ascii="宋体" w:hAnsi="宋体" w:eastAsia="宋体" w:cs="宋体"/>
          <w:sz w:val="21"/>
          <w:szCs w:val="21"/>
        </w:rPr>
        <w:t>汽车及其充电桩</w:t>
      </w:r>
      <w:r>
        <w:rPr>
          <w:rFonts w:hint="eastAsia" w:ascii="宋体" w:hAnsi="宋体" w:eastAsia="宋体" w:cs="宋体"/>
          <w:sz w:val="21"/>
          <w:szCs w:val="21"/>
        </w:rPr>
        <w:t>产业链</w:t>
      </w:r>
      <w:r>
        <w:rPr>
          <w:rFonts w:hint="eastAsia" w:ascii="宋体" w:hAnsi="宋体" w:eastAsia="宋体" w:cs="宋体"/>
          <w:sz w:val="21"/>
          <w:szCs w:val="21"/>
        </w:rPr>
        <w:t>现状研究</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陈念文</w:t>
      </w:r>
      <w:bookmarkStart w:id="0" w:name="_GoBack"/>
      <w:bookmarkEnd w:id="0"/>
    </w:p>
    <w:p>
      <w:pPr>
        <w:pageBreakBefore w:val="0"/>
        <w:widowControl w:val="0"/>
        <w:kinsoku/>
        <w:wordWrap/>
        <w:overflowPunct/>
        <w:topLinePunct w:val="0"/>
        <w:autoSpaceDE/>
        <w:autoSpaceDN/>
        <w:bidi w:val="0"/>
        <w:adjustRightInd w:val="0"/>
        <w:snapToGrid w:val="0"/>
        <w:spacing w:line="240" w:lineRule="auto"/>
        <w:ind w:right="0" w:righ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南京航空</w:t>
      </w:r>
      <w:r>
        <w:rPr>
          <w:rFonts w:hint="eastAsia" w:ascii="宋体" w:hAnsi="宋体" w:eastAsia="宋体" w:cs="宋体"/>
          <w:sz w:val="21"/>
          <w:szCs w:val="21"/>
        </w:rPr>
        <w:t>航天大学金城学院</w:t>
      </w:r>
      <w:r>
        <w:rPr>
          <w:rFonts w:hint="eastAsia" w:ascii="宋体" w:hAnsi="宋体" w:eastAsia="宋体" w:cs="宋体"/>
          <w:sz w:val="21"/>
          <w:szCs w:val="21"/>
        </w:rPr>
        <w:t>，</w:t>
      </w:r>
      <w:r>
        <w:rPr>
          <w:rFonts w:hint="eastAsia" w:ascii="宋体" w:hAnsi="宋体" w:eastAsia="宋体" w:cs="宋体"/>
          <w:sz w:val="21"/>
          <w:szCs w:val="21"/>
        </w:rPr>
        <w:t>江苏南京</w:t>
      </w:r>
      <w:r>
        <w:rPr>
          <w:rFonts w:hint="eastAsia" w:ascii="宋体" w:hAnsi="宋体" w:eastAsia="宋体" w:cs="宋体"/>
          <w:sz w:val="21"/>
          <w:szCs w:val="21"/>
        </w:rPr>
        <w:t>,</w:t>
      </w:r>
      <w:r>
        <w:rPr>
          <w:rFonts w:hint="eastAsia" w:ascii="宋体" w:hAnsi="宋体" w:eastAsia="宋体" w:cs="宋体"/>
          <w:sz w:val="21"/>
          <w:szCs w:val="21"/>
        </w:rPr>
        <w:t>211156</w:t>
      </w:r>
    </w:p>
    <w:p>
      <w:pPr>
        <w:pageBreakBefore w:val="0"/>
        <w:widowControl w:val="0"/>
        <w:kinsoku/>
        <w:wordWrap/>
        <w:overflowPunct/>
        <w:topLinePunct w:val="0"/>
        <w:autoSpaceDE/>
        <w:autoSpaceDN/>
        <w:bidi w:val="0"/>
        <w:adjustRightInd w:val="0"/>
        <w:snapToGrid w:val="0"/>
        <w:spacing w:line="240" w:lineRule="auto"/>
        <w:ind w:right="0" w:rightChars="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摘</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要</w:t>
      </w:r>
      <w:r>
        <w:rPr>
          <w:rFonts w:hint="eastAsia" w:ascii="宋体" w:hAnsi="宋体" w:eastAsia="宋体" w:cs="宋体"/>
          <w:sz w:val="21"/>
          <w:szCs w:val="21"/>
        </w:rPr>
        <w:t>：</w:t>
      </w:r>
      <w:r>
        <w:rPr>
          <w:rFonts w:hint="eastAsia" w:ascii="宋体" w:hAnsi="宋体" w:eastAsia="宋体" w:cs="宋体"/>
          <w:sz w:val="21"/>
          <w:szCs w:val="21"/>
        </w:rPr>
        <w:t>纯电动</w:t>
      </w:r>
      <w:r>
        <w:rPr>
          <w:rFonts w:hint="eastAsia" w:ascii="宋体" w:hAnsi="宋体" w:eastAsia="宋体" w:cs="宋体"/>
          <w:sz w:val="21"/>
          <w:szCs w:val="21"/>
        </w:rPr>
        <w:t>汽车是</w:t>
      </w:r>
      <w:r>
        <w:rPr>
          <w:rFonts w:hint="eastAsia" w:ascii="宋体" w:hAnsi="宋体" w:eastAsia="宋体" w:cs="宋体"/>
          <w:sz w:val="21"/>
          <w:szCs w:val="21"/>
        </w:rPr>
        <w:t>目前</w:t>
      </w:r>
      <w:r>
        <w:rPr>
          <w:rFonts w:hint="eastAsia" w:ascii="宋体" w:hAnsi="宋体" w:eastAsia="宋体" w:cs="宋体"/>
          <w:sz w:val="21"/>
          <w:szCs w:val="21"/>
        </w:rPr>
        <w:t>国家大力扶持</w:t>
      </w:r>
      <w:r>
        <w:rPr>
          <w:rFonts w:hint="eastAsia" w:ascii="宋体" w:hAnsi="宋体" w:eastAsia="宋体" w:cs="宋体"/>
          <w:sz w:val="21"/>
          <w:szCs w:val="21"/>
        </w:rPr>
        <w:t>和</w:t>
      </w:r>
      <w:r>
        <w:rPr>
          <w:rFonts w:hint="eastAsia" w:ascii="宋体" w:hAnsi="宋体" w:eastAsia="宋体" w:cs="宋体"/>
          <w:sz w:val="21"/>
          <w:szCs w:val="21"/>
        </w:rPr>
        <w:t>激励</w:t>
      </w:r>
      <w:r>
        <w:rPr>
          <w:rFonts w:hint="eastAsia" w:ascii="宋体" w:hAnsi="宋体" w:eastAsia="宋体" w:cs="宋体"/>
          <w:sz w:val="21"/>
          <w:szCs w:val="21"/>
        </w:rPr>
        <w:t>的</w:t>
      </w:r>
      <w:r>
        <w:rPr>
          <w:rFonts w:hint="eastAsia" w:ascii="宋体" w:hAnsi="宋体" w:eastAsia="宋体" w:cs="宋体"/>
          <w:sz w:val="21"/>
          <w:szCs w:val="21"/>
        </w:rPr>
        <w:t>产业，</w:t>
      </w:r>
      <w:r>
        <w:rPr>
          <w:rFonts w:hint="eastAsia" w:ascii="宋体" w:hAnsi="宋体" w:eastAsia="宋体" w:cs="宋体"/>
          <w:sz w:val="21"/>
          <w:szCs w:val="21"/>
        </w:rPr>
        <w:t>对</w:t>
      </w:r>
      <w:r>
        <w:rPr>
          <w:rFonts w:hint="eastAsia" w:ascii="宋体" w:hAnsi="宋体" w:eastAsia="宋体" w:cs="宋体"/>
          <w:sz w:val="21"/>
          <w:szCs w:val="21"/>
        </w:rPr>
        <w:t>缓解环境压力，</w:t>
      </w:r>
      <w:r>
        <w:rPr>
          <w:rFonts w:hint="eastAsia" w:ascii="宋体" w:hAnsi="宋体" w:eastAsia="宋体" w:cs="宋体"/>
          <w:sz w:val="21"/>
          <w:szCs w:val="21"/>
        </w:rPr>
        <w:t>改善</w:t>
      </w:r>
      <w:r>
        <w:rPr>
          <w:rFonts w:hint="eastAsia" w:ascii="宋体" w:hAnsi="宋体" w:eastAsia="宋体" w:cs="宋体"/>
          <w:sz w:val="21"/>
          <w:szCs w:val="21"/>
        </w:rPr>
        <w:t>能源危机，</w:t>
      </w:r>
      <w:r>
        <w:rPr>
          <w:rFonts w:hint="eastAsia" w:ascii="宋体" w:hAnsi="宋体" w:eastAsia="宋体" w:cs="宋体"/>
          <w:sz w:val="21"/>
          <w:szCs w:val="21"/>
        </w:rPr>
        <w:t>促进</w:t>
      </w:r>
      <w:r>
        <w:rPr>
          <w:rFonts w:hint="eastAsia" w:ascii="宋体" w:hAnsi="宋体" w:eastAsia="宋体" w:cs="宋体"/>
          <w:sz w:val="21"/>
          <w:szCs w:val="21"/>
        </w:rPr>
        <w:t>汽车产业</w:t>
      </w:r>
      <w:r>
        <w:rPr>
          <w:rFonts w:hint="eastAsia" w:ascii="宋体" w:hAnsi="宋体" w:eastAsia="宋体" w:cs="宋体"/>
          <w:sz w:val="21"/>
          <w:szCs w:val="21"/>
        </w:rPr>
        <w:t>结构</w:t>
      </w:r>
      <w:r>
        <w:rPr>
          <w:rFonts w:hint="eastAsia" w:ascii="宋体" w:hAnsi="宋体" w:eastAsia="宋体" w:cs="宋体"/>
          <w:sz w:val="21"/>
          <w:szCs w:val="21"/>
        </w:rPr>
        <w:t>升级起到积极作用。</w:t>
      </w:r>
      <w:r>
        <w:rPr>
          <w:rFonts w:hint="eastAsia" w:ascii="宋体" w:hAnsi="宋体" w:eastAsia="宋体" w:cs="宋体"/>
          <w:sz w:val="21"/>
          <w:szCs w:val="21"/>
        </w:rPr>
        <w:t>与我国</w:t>
      </w:r>
      <w:r>
        <w:rPr>
          <w:rFonts w:hint="eastAsia" w:ascii="宋体" w:hAnsi="宋体" w:eastAsia="宋体" w:cs="宋体"/>
          <w:sz w:val="21"/>
          <w:szCs w:val="21"/>
        </w:rPr>
        <w:t>新能源汽车保有量逐年上升产生鲜明对比的是配套充电桩、充电站建设的严重滞后。本文</w:t>
      </w:r>
      <w:r>
        <w:rPr>
          <w:rFonts w:hint="eastAsia" w:ascii="宋体" w:hAnsi="宋体" w:eastAsia="宋体" w:cs="宋体"/>
          <w:sz w:val="21"/>
          <w:szCs w:val="21"/>
        </w:rPr>
        <w:t>通过</w:t>
      </w:r>
      <w:r>
        <w:rPr>
          <w:rFonts w:hint="eastAsia" w:ascii="宋体" w:hAnsi="宋体" w:eastAsia="宋体" w:cs="宋体"/>
          <w:sz w:val="21"/>
          <w:szCs w:val="21"/>
        </w:rPr>
        <w:t>多省市走访调查，统计了各地区纯电动汽车在过去几年中的销售量，及其在各个领域中保有情况，</w:t>
      </w:r>
      <w:r>
        <w:rPr>
          <w:rFonts w:hint="eastAsia" w:ascii="宋体" w:hAnsi="宋体" w:eastAsia="宋体" w:cs="宋体"/>
          <w:sz w:val="21"/>
          <w:szCs w:val="21"/>
        </w:rPr>
        <w:t>总结</w:t>
      </w:r>
      <w:r>
        <w:rPr>
          <w:rFonts w:hint="eastAsia" w:ascii="宋体" w:hAnsi="宋体" w:eastAsia="宋体" w:cs="宋体"/>
          <w:sz w:val="21"/>
          <w:szCs w:val="21"/>
        </w:rPr>
        <w:t>出行业发展趋势。同时</w:t>
      </w:r>
      <w:r>
        <w:rPr>
          <w:rFonts w:hint="eastAsia" w:ascii="宋体" w:hAnsi="宋体" w:eastAsia="宋体" w:cs="宋体"/>
          <w:sz w:val="21"/>
          <w:szCs w:val="21"/>
        </w:rPr>
        <w:t>，通过</w:t>
      </w:r>
      <w:r>
        <w:rPr>
          <w:rFonts w:hint="eastAsia" w:ascii="宋体" w:hAnsi="宋体" w:eastAsia="宋体" w:cs="宋体"/>
          <w:sz w:val="21"/>
          <w:szCs w:val="21"/>
        </w:rPr>
        <w:t>实地考察数据，</w:t>
      </w:r>
      <w:r>
        <w:rPr>
          <w:rFonts w:hint="eastAsia" w:ascii="宋体" w:hAnsi="宋体" w:eastAsia="宋体" w:cs="宋体"/>
          <w:sz w:val="21"/>
          <w:szCs w:val="21"/>
        </w:rPr>
        <w:t>发现</w:t>
      </w:r>
      <w:r>
        <w:rPr>
          <w:rFonts w:hint="eastAsia" w:ascii="宋体" w:hAnsi="宋体" w:eastAsia="宋体" w:cs="宋体"/>
          <w:sz w:val="21"/>
          <w:szCs w:val="21"/>
        </w:rPr>
        <w:t>基础设施建设中存在的</w:t>
      </w:r>
      <w:r>
        <w:rPr>
          <w:rFonts w:hint="eastAsia" w:ascii="宋体" w:hAnsi="宋体" w:eastAsia="宋体" w:cs="宋体"/>
          <w:sz w:val="21"/>
          <w:szCs w:val="21"/>
        </w:rPr>
        <w:t>缺陷</w:t>
      </w:r>
      <w:r>
        <w:rPr>
          <w:rFonts w:hint="eastAsia" w:ascii="宋体" w:hAnsi="宋体" w:eastAsia="宋体" w:cs="宋体"/>
          <w:sz w:val="21"/>
          <w:szCs w:val="21"/>
        </w:rPr>
        <w:t>和滞后因素，为纯电动汽车车联网</w:t>
      </w:r>
      <w:r>
        <w:rPr>
          <w:rFonts w:hint="eastAsia" w:ascii="宋体" w:hAnsi="宋体" w:eastAsia="宋体" w:cs="宋体"/>
          <w:sz w:val="21"/>
          <w:szCs w:val="21"/>
        </w:rPr>
        <w:t>发展</w:t>
      </w:r>
      <w:r>
        <w:rPr>
          <w:rFonts w:hint="eastAsia" w:ascii="宋体" w:hAnsi="宋体" w:eastAsia="宋体" w:cs="宋体"/>
          <w:sz w:val="21"/>
          <w:szCs w:val="21"/>
        </w:rPr>
        <w:t>提供参考。</w:t>
      </w:r>
    </w:p>
    <w:p>
      <w:pPr>
        <w:pageBreakBefore w:val="0"/>
        <w:widowControl w:val="0"/>
        <w:kinsoku/>
        <w:wordWrap/>
        <w:overflowPunct/>
        <w:topLinePunct w:val="0"/>
        <w:autoSpaceDE/>
        <w:autoSpaceDN/>
        <w:bidi w:val="0"/>
        <w:adjustRightInd w:val="0"/>
        <w:snapToGrid w:val="0"/>
        <w:spacing w:line="240" w:lineRule="auto"/>
        <w:ind w:right="0" w:rightChars="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关键词</w:t>
      </w:r>
      <w:r>
        <w:rPr>
          <w:rFonts w:hint="eastAsia" w:ascii="宋体" w:hAnsi="宋体" w:eastAsia="宋体" w:cs="宋体"/>
          <w:sz w:val="21"/>
          <w:szCs w:val="21"/>
        </w:rPr>
        <w:t>：</w:t>
      </w:r>
      <w:r>
        <w:rPr>
          <w:rFonts w:hint="eastAsia" w:ascii="宋体" w:hAnsi="宋体" w:eastAsia="宋体" w:cs="宋体"/>
          <w:sz w:val="21"/>
          <w:szCs w:val="21"/>
        </w:rPr>
        <w:t>纯电动汽车，充电桩</w:t>
      </w:r>
      <w:r>
        <w:rPr>
          <w:rFonts w:hint="eastAsia" w:ascii="宋体" w:hAnsi="宋体" w:eastAsia="宋体" w:cs="宋体"/>
          <w:sz w:val="21"/>
          <w:szCs w:val="21"/>
        </w:rPr>
        <w:t>，</w:t>
      </w:r>
      <w:r>
        <w:rPr>
          <w:rFonts w:hint="eastAsia" w:ascii="宋体" w:hAnsi="宋体" w:eastAsia="宋体" w:cs="宋体"/>
          <w:sz w:val="21"/>
          <w:szCs w:val="21"/>
        </w:rPr>
        <w:t>产业链</w:t>
      </w:r>
      <w:r>
        <w:rPr>
          <w:rFonts w:hint="eastAsia" w:ascii="宋体" w:hAnsi="宋体" w:eastAsia="宋体" w:cs="宋体"/>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t>车联网</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随着</w:t>
      </w:r>
      <w:r>
        <w:rPr>
          <w:rFonts w:hint="eastAsia" w:ascii="宋体" w:hAnsi="宋体" w:eastAsia="宋体" w:cs="宋体"/>
          <w:sz w:val="21"/>
          <w:szCs w:val="21"/>
        </w:rPr>
        <w:t>政府对环境问题关注度</w:t>
      </w:r>
      <w:r>
        <w:rPr>
          <w:rFonts w:hint="eastAsia" w:ascii="宋体" w:hAnsi="宋体" w:eastAsia="宋体" w:cs="宋体"/>
          <w:sz w:val="21"/>
          <w:szCs w:val="21"/>
        </w:rPr>
        <w:t>的</w:t>
      </w:r>
      <w:r>
        <w:rPr>
          <w:rFonts w:hint="eastAsia" w:ascii="宋体" w:hAnsi="宋体" w:eastAsia="宋体" w:cs="宋体"/>
          <w:sz w:val="21"/>
          <w:szCs w:val="21"/>
        </w:rPr>
        <w:t>增大以及</w:t>
      </w:r>
      <w:r>
        <w:rPr>
          <w:rFonts w:hint="eastAsia" w:ascii="宋体" w:hAnsi="宋体" w:eastAsia="宋体" w:cs="宋体"/>
          <w:sz w:val="21"/>
          <w:szCs w:val="21"/>
        </w:rPr>
        <w:t>汽车</w:t>
      </w:r>
      <w:r>
        <w:rPr>
          <w:rFonts w:hint="eastAsia" w:ascii="宋体" w:hAnsi="宋体" w:eastAsia="宋体" w:cs="宋体"/>
          <w:sz w:val="21"/>
          <w:szCs w:val="21"/>
        </w:rPr>
        <w:t>制造产业链的快速崛起，</w:t>
      </w:r>
      <w:r>
        <w:rPr>
          <w:rFonts w:hint="eastAsia" w:ascii="宋体" w:hAnsi="宋体" w:eastAsia="宋体" w:cs="宋体"/>
          <w:sz w:val="21"/>
          <w:szCs w:val="21"/>
        </w:rPr>
        <w:t>新能源</w:t>
      </w:r>
      <w:r>
        <w:rPr>
          <w:rFonts w:hint="eastAsia" w:ascii="宋体" w:hAnsi="宋体" w:eastAsia="宋体" w:cs="宋体"/>
          <w:sz w:val="21"/>
          <w:szCs w:val="21"/>
        </w:rPr>
        <w:t>汽车特别是纯电动汽车</w:t>
      </w:r>
      <w:r>
        <w:rPr>
          <w:rFonts w:hint="eastAsia" w:ascii="宋体" w:hAnsi="宋体" w:eastAsia="宋体" w:cs="宋体"/>
          <w:sz w:val="21"/>
          <w:szCs w:val="21"/>
        </w:rPr>
        <w:t>已经</w:t>
      </w:r>
      <w:r>
        <w:rPr>
          <w:rFonts w:hint="eastAsia" w:ascii="宋体" w:hAnsi="宋体" w:eastAsia="宋体" w:cs="宋体"/>
          <w:sz w:val="21"/>
          <w:szCs w:val="21"/>
        </w:rPr>
        <w:t>成为</w:t>
      </w:r>
      <w:r>
        <w:rPr>
          <w:rFonts w:hint="eastAsia" w:ascii="宋体" w:hAnsi="宋体" w:eastAsia="宋体" w:cs="宋体"/>
          <w:sz w:val="21"/>
          <w:szCs w:val="21"/>
        </w:rPr>
        <w:t>替代以</w:t>
      </w:r>
      <w:r>
        <w:rPr>
          <w:rFonts w:hint="eastAsia" w:ascii="宋体" w:hAnsi="宋体" w:eastAsia="宋体" w:cs="宋体"/>
          <w:sz w:val="21"/>
          <w:szCs w:val="21"/>
        </w:rPr>
        <w:t>汽油、柴油甚至于天然气</w:t>
      </w:r>
      <w:r>
        <w:rPr>
          <w:rFonts w:hint="eastAsia" w:ascii="宋体" w:hAnsi="宋体" w:eastAsia="宋体" w:cs="宋体"/>
          <w:sz w:val="21"/>
          <w:szCs w:val="21"/>
        </w:rPr>
        <w:t>为</w:t>
      </w:r>
      <w:r>
        <w:rPr>
          <w:rFonts w:hint="eastAsia" w:ascii="宋体" w:hAnsi="宋体" w:eastAsia="宋体" w:cs="宋体"/>
          <w:sz w:val="21"/>
          <w:szCs w:val="21"/>
        </w:rPr>
        <w:t>燃料的</w:t>
      </w:r>
      <w:r>
        <w:rPr>
          <w:rFonts w:hint="eastAsia" w:ascii="宋体" w:hAnsi="宋体" w:eastAsia="宋体" w:cs="宋体"/>
          <w:sz w:val="21"/>
          <w:szCs w:val="21"/>
        </w:rPr>
        <w:t>传统</w:t>
      </w:r>
      <w:r>
        <w:rPr>
          <w:rFonts w:hint="eastAsia" w:ascii="宋体" w:hAnsi="宋体" w:eastAsia="宋体" w:cs="宋体"/>
          <w:sz w:val="21"/>
          <w:szCs w:val="21"/>
        </w:rPr>
        <w:t>内燃机汽车</w:t>
      </w:r>
      <w:r>
        <w:rPr>
          <w:rFonts w:hint="eastAsia" w:ascii="宋体" w:hAnsi="宋体" w:eastAsia="宋体" w:cs="宋体"/>
          <w:sz w:val="21"/>
          <w:szCs w:val="21"/>
        </w:rPr>
        <w:t>的</w:t>
      </w:r>
      <w:r>
        <w:rPr>
          <w:rFonts w:hint="eastAsia" w:ascii="宋体" w:hAnsi="宋体" w:eastAsia="宋体" w:cs="宋体"/>
          <w:sz w:val="21"/>
          <w:szCs w:val="21"/>
        </w:rPr>
        <w:t>不二之选。2016年</w:t>
      </w:r>
      <w:r>
        <w:rPr>
          <w:rFonts w:hint="eastAsia" w:ascii="宋体" w:hAnsi="宋体" w:eastAsia="宋体" w:cs="宋体"/>
          <w:sz w:val="21"/>
          <w:szCs w:val="21"/>
        </w:rPr>
        <w:t>，</w:t>
      </w:r>
      <w:r>
        <w:rPr>
          <w:rFonts w:hint="eastAsia" w:ascii="宋体" w:hAnsi="宋体" w:eastAsia="宋体" w:cs="宋体"/>
          <w:sz w:val="21"/>
          <w:szCs w:val="21"/>
        </w:rPr>
        <w:t>我国新能源汽车市场</w:t>
      </w:r>
      <w:r>
        <w:rPr>
          <w:rFonts w:hint="eastAsia" w:ascii="宋体" w:hAnsi="宋体" w:eastAsia="宋体" w:cs="宋体"/>
          <w:sz w:val="21"/>
          <w:szCs w:val="21"/>
        </w:rPr>
        <w:t>呈</w:t>
      </w:r>
      <w:r>
        <w:rPr>
          <w:rFonts w:hint="eastAsia" w:ascii="宋体" w:hAnsi="宋体" w:eastAsia="宋体" w:cs="宋体"/>
          <w:sz w:val="21"/>
          <w:szCs w:val="21"/>
        </w:rPr>
        <w:t>高速增长</w:t>
      </w:r>
      <w:r>
        <w:rPr>
          <w:rFonts w:hint="eastAsia" w:ascii="宋体" w:hAnsi="宋体" w:eastAsia="宋体" w:cs="宋体"/>
          <w:sz w:val="21"/>
          <w:szCs w:val="21"/>
        </w:rPr>
        <w:t>态势，</w:t>
      </w:r>
      <w:r>
        <w:rPr>
          <w:rFonts w:hint="eastAsia" w:ascii="宋体" w:hAnsi="宋体" w:eastAsia="宋体" w:cs="宋体"/>
          <w:sz w:val="21"/>
          <w:szCs w:val="21"/>
        </w:rPr>
        <w:t>仅1-11月，新能源汽车</w:t>
      </w:r>
      <w:r>
        <w:rPr>
          <w:rFonts w:hint="eastAsia" w:ascii="宋体" w:hAnsi="宋体" w:eastAsia="宋体" w:cs="宋体"/>
          <w:sz w:val="21"/>
          <w:szCs w:val="21"/>
        </w:rPr>
        <w:t>销售量</w:t>
      </w:r>
      <w:r>
        <w:rPr>
          <w:rFonts w:hint="eastAsia" w:ascii="宋体" w:hAnsi="宋体" w:eastAsia="宋体" w:cs="宋体"/>
          <w:sz w:val="21"/>
          <w:szCs w:val="21"/>
        </w:rPr>
        <w:t>高达38.40万辆，同比增长95.0%。</w:t>
      </w:r>
      <w:r>
        <w:rPr>
          <w:rFonts w:hint="eastAsia" w:ascii="宋体" w:hAnsi="宋体" w:eastAsia="宋体" w:cs="宋体"/>
          <w:sz w:val="21"/>
          <w:szCs w:val="21"/>
        </w:rPr>
        <w:t>其中</w:t>
      </w:r>
      <w:r>
        <w:rPr>
          <w:rFonts w:hint="eastAsia" w:ascii="宋体" w:hAnsi="宋体" w:eastAsia="宋体" w:cs="宋体"/>
          <w:sz w:val="21"/>
          <w:szCs w:val="21"/>
        </w:rPr>
        <w:t>纯电动汽车29.8万辆，同比增长128.3%</w:t>
      </w:r>
      <w:r>
        <w:rPr>
          <w:rFonts w:hint="eastAsia" w:ascii="宋体" w:hAnsi="宋体" w:eastAsia="宋体" w:cs="宋体"/>
          <w:sz w:val="21"/>
          <w:szCs w:val="21"/>
        </w:rPr>
        <w:t>。</w:t>
      </w:r>
    </w:p>
    <w:p>
      <w:pPr>
        <w:pStyle w:val="8"/>
        <w:pageBreakBefore w:val="0"/>
        <w:widowControl w:val="0"/>
        <w:numPr>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一</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纯电动汽车在各行业使用程度分析</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预计2017年度</w:t>
      </w:r>
      <w:r>
        <w:rPr>
          <w:rFonts w:hint="eastAsia" w:ascii="宋体" w:hAnsi="宋体" w:eastAsia="宋体" w:cs="宋体"/>
          <w:sz w:val="21"/>
          <w:szCs w:val="21"/>
        </w:rPr>
        <w:t>，纯电动汽车市场</w:t>
      </w:r>
      <w:r>
        <w:rPr>
          <w:rFonts w:hint="eastAsia" w:ascii="宋体" w:hAnsi="宋体" w:eastAsia="宋体" w:cs="宋体"/>
          <w:sz w:val="21"/>
          <w:szCs w:val="21"/>
        </w:rPr>
        <w:t>份额</w:t>
      </w:r>
      <w:r>
        <w:rPr>
          <w:rFonts w:hint="eastAsia" w:ascii="宋体" w:hAnsi="宋体" w:eastAsia="宋体" w:cs="宋体"/>
          <w:sz w:val="21"/>
          <w:szCs w:val="21"/>
        </w:rPr>
        <w:t>仍将</w:t>
      </w:r>
      <w:r>
        <w:rPr>
          <w:rFonts w:hint="eastAsia" w:ascii="宋体" w:hAnsi="宋体" w:eastAsia="宋体" w:cs="宋体"/>
          <w:sz w:val="21"/>
          <w:szCs w:val="21"/>
        </w:rPr>
        <w:t>保持</w:t>
      </w:r>
      <w:r>
        <w:rPr>
          <w:rFonts w:hint="eastAsia" w:ascii="宋体" w:hAnsi="宋体" w:eastAsia="宋体" w:cs="宋体"/>
          <w:sz w:val="21"/>
          <w:szCs w:val="21"/>
        </w:rPr>
        <w:t>快速增长</w:t>
      </w:r>
      <w:r>
        <w:rPr>
          <w:rFonts w:hint="eastAsia" w:ascii="宋体" w:hAnsi="宋体" w:eastAsia="宋体" w:cs="宋体"/>
          <w:sz w:val="21"/>
          <w:szCs w:val="21"/>
        </w:rPr>
        <w:t>态势，从市场</w:t>
      </w:r>
      <w:r>
        <w:rPr>
          <w:rFonts w:hint="eastAsia" w:ascii="宋体" w:hAnsi="宋体" w:eastAsia="宋体" w:cs="宋体"/>
          <w:sz w:val="21"/>
          <w:szCs w:val="21"/>
        </w:rPr>
        <w:t>统计数据</w:t>
      </w:r>
      <w:r>
        <w:rPr>
          <w:rFonts w:hint="eastAsia" w:ascii="宋体" w:hAnsi="宋体" w:eastAsia="宋体" w:cs="宋体"/>
          <w:sz w:val="21"/>
          <w:szCs w:val="21"/>
        </w:rPr>
        <w:t>得出</w:t>
      </w:r>
      <w:r>
        <w:rPr>
          <w:rFonts w:hint="eastAsia" w:ascii="宋体" w:hAnsi="宋体" w:eastAsia="宋体" w:cs="宋体"/>
          <w:sz w:val="21"/>
          <w:szCs w:val="21"/>
        </w:rPr>
        <w:t>，我国纯电动汽车销售主要以乘用车为主，</w:t>
      </w:r>
      <w:r>
        <w:rPr>
          <w:rFonts w:hint="eastAsia" w:ascii="宋体" w:hAnsi="宋体" w:eastAsia="宋体" w:cs="宋体"/>
          <w:sz w:val="21"/>
          <w:szCs w:val="21"/>
        </w:rPr>
        <w:t>并</w:t>
      </w:r>
      <w:r>
        <w:rPr>
          <w:rFonts w:hint="eastAsia" w:ascii="宋体" w:hAnsi="宋体" w:eastAsia="宋体" w:cs="宋体"/>
          <w:sz w:val="21"/>
          <w:szCs w:val="21"/>
        </w:rPr>
        <w:t>呈现迅猛</w:t>
      </w:r>
      <w:r>
        <w:rPr>
          <w:rFonts w:hint="eastAsia" w:ascii="宋体" w:hAnsi="宋体" w:eastAsia="宋体" w:cs="宋体"/>
          <w:sz w:val="21"/>
          <w:szCs w:val="21"/>
        </w:rPr>
        <w:t>增长</w:t>
      </w:r>
      <w:r>
        <w:rPr>
          <w:rFonts w:hint="eastAsia" w:ascii="宋体" w:hAnsi="宋体" w:eastAsia="宋体" w:cs="宋体"/>
          <w:sz w:val="21"/>
          <w:szCs w:val="21"/>
        </w:rPr>
        <w:t>的趋势，这主要是由纯电动汽车电池系统的特性所决定的。</w:t>
      </w:r>
      <w:r>
        <w:rPr>
          <w:rFonts w:hint="eastAsia" w:ascii="宋体" w:hAnsi="宋体" w:eastAsia="宋体" w:cs="宋体"/>
          <w:sz w:val="21"/>
          <w:szCs w:val="21"/>
        </w:rPr>
        <w:t>目前</w:t>
      </w:r>
      <w:r>
        <w:rPr>
          <w:rFonts w:hint="eastAsia" w:ascii="宋体" w:hAnsi="宋体" w:eastAsia="宋体" w:cs="宋体"/>
          <w:sz w:val="21"/>
          <w:szCs w:val="21"/>
        </w:rPr>
        <w:t>，乘用纯电动车主要销售领域主要有三个方面：客车、</w:t>
      </w:r>
      <w:r>
        <w:rPr>
          <w:rFonts w:hint="eastAsia" w:ascii="宋体" w:hAnsi="宋体" w:eastAsia="宋体" w:cs="宋体"/>
          <w:sz w:val="21"/>
          <w:szCs w:val="21"/>
        </w:rPr>
        <w:t>物流车</w:t>
      </w:r>
      <w:r>
        <w:rPr>
          <w:rFonts w:hint="eastAsia" w:ascii="宋体" w:hAnsi="宋体" w:eastAsia="宋体" w:cs="宋体"/>
          <w:sz w:val="21"/>
          <w:szCs w:val="21"/>
        </w:rPr>
        <w:t>和出租车。</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客车</w:t>
      </w:r>
      <w:r>
        <w:rPr>
          <w:rFonts w:hint="eastAsia" w:ascii="宋体" w:hAnsi="宋体" w:eastAsia="宋体" w:cs="宋体"/>
          <w:sz w:val="21"/>
          <w:szCs w:val="21"/>
        </w:rPr>
        <w:t>方面，为了顺应国家补贴政策导向</w:t>
      </w:r>
      <w:r>
        <w:rPr>
          <w:rFonts w:hint="eastAsia" w:ascii="宋体" w:hAnsi="宋体" w:eastAsia="宋体" w:cs="宋体"/>
          <w:sz w:val="21"/>
          <w:szCs w:val="21"/>
        </w:rPr>
        <w:t>需求</w:t>
      </w:r>
      <w:r>
        <w:rPr>
          <w:rFonts w:hint="eastAsia" w:ascii="宋体" w:hAnsi="宋体" w:eastAsia="宋体" w:cs="宋体"/>
          <w:sz w:val="21"/>
          <w:szCs w:val="21"/>
        </w:rPr>
        <w:t>，以及企业</w:t>
      </w:r>
      <w:r>
        <w:rPr>
          <w:rFonts w:hint="eastAsia" w:ascii="宋体" w:hAnsi="宋体" w:eastAsia="宋体" w:cs="宋体"/>
          <w:sz w:val="21"/>
          <w:szCs w:val="21"/>
        </w:rPr>
        <w:t>天生盈利性</w:t>
      </w:r>
      <w:r>
        <w:rPr>
          <w:rFonts w:hint="eastAsia" w:ascii="宋体" w:hAnsi="宋体" w:eastAsia="宋体" w:cs="宋体"/>
          <w:sz w:val="21"/>
          <w:szCs w:val="21"/>
        </w:rPr>
        <w:t>追求的驱使，</w:t>
      </w:r>
      <w:r>
        <w:rPr>
          <w:rFonts w:hint="eastAsia" w:ascii="宋体" w:hAnsi="宋体" w:eastAsia="宋体" w:cs="宋体"/>
          <w:sz w:val="21"/>
          <w:szCs w:val="21"/>
        </w:rPr>
        <w:t>整个</w:t>
      </w:r>
      <w:r>
        <w:rPr>
          <w:rFonts w:hint="eastAsia" w:ascii="宋体" w:hAnsi="宋体" w:eastAsia="宋体" w:cs="宋体"/>
          <w:sz w:val="21"/>
          <w:szCs w:val="21"/>
        </w:rPr>
        <w:t>汽车市场</w:t>
      </w:r>
      <w:r>
        <w:rPr>
          <w:rFonts w:hint="eastAsia" w:ascii="宋体" w:hAnsi="宋体" w:eastAsia="宋体" w:cs="宋体"/>
          <w:sz w:val="21"/>
          <w:szCs w:val="21"/>
        </w:rPr>
        <w:t>在</w:t>
      </w:r>
      <w:r>
        <w:rPr>
          <w:rFonts w:hint="eastAsia" w:ascii="宋体" w:hAnsi="宋体" w:eastAsia="宋体" w:cs="宋体"/>
          <w:sz w:val="21"/>
          <w:szCs w:val="21"/>
        </w:rPr>
        <w:t>动力源方向进行了产品产业结构的调整。纯电动客车</w:t>
      </w:r>
      <w:r>
        <w:rPr>
          <w:rFonts w:hint="eastAsia" w:ascii="宋体" w:hAnsi="宋体" w:eastAsia="宋体" w:cs="宋体"/>
          <w:sz w:val="21"/>
          <w:szCs w:val="21"/>
        </w:rPr>
        <w:t>2016</w:t>
      </w:r>
      <w:r>
        <w:rPr>
          <w:rFonts w:hint="eastAsia" w:ascii="宋体" w:hAnsi="宋体" w:eastAsia="宋体" w:cs="宋体"/>
          <w:sz w:val="21"/>
          <w:szCs w:val="21"/>
        </w:rPr>
        <w:t>上半年销量达10218辆，插电式混合动力客车销量3268辆，比例约为3.1:1，纯电动客车销量占</w:t>
      </w:r>
      <w:r>
        <w:rPr>
          <w:rFonts w:hint="eastAsia" w:ascii="宋体" w:hAnsi="宋体" w:eastAsia="宋体" w:cs="宋体"/>
          <w:sz w:val="21"/>
          <w:szCs w:val="21"/>
        </w:rPr>
        <w:t>主导地位</w:t>
      </w:r>
      <w:r>
        <w:rPr>
          <w:rFonts w:hint="eastAsia" w:ascii="宋体" w:hAnsi="宋体" w:eastAsia="宋体" w:cs="宋体"/>
          <w:sz w:val="21"/>
          <w:szCs w:val="21"/>
        </w:rPr>
        <w:t>。</w:t>
      </w:r>
      <w:r>
        <w:rPr>
          <w:rFonts w:hint="eastAsia" w:ascii="宋体" w:hAnsi="宋体" w:eastAsia="宋体" w:cs="宋体"/>
          <w:sz w:val="21"/>
          <w:szCs w:val="21"/>
        </w:rPr>
        <w:t>而</w:t>
      </w:r>
      <w:r>
        <w:rPr>
          <w:rFonts w:hint="eastAsia" w:ascii="宋体" w:hAnsi="宋体" w:eastAsia="宋体" w:cs="宋体"/>
          <w:sz w:val="21"/>
          <w:szCs w:val="21"/>
        </w:rPr>
        <w:t>从车型结构来看，</w:t>
      </w:r>
      <w:r>
        <w:rPr>
          <w:rFonts w:hint="eastAsia" w:ascii="宋体" w:hAnsi="宋体" w:eastAsia="宋体" w:cs="宋体"/>
          <w:sz w:val="21"/>
          <w:szCs w:val="21"/>
        </w:rPr>
        <w:t>2017年上半年大型客车销量9378辆，中型客车3627辆，轻型客车仅481辆，其中大型客车份额约70%，轻型客车仅3.6%，“一大一轻”两极分化严重。</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物流</w:t>
      </w:r>
      <w:r>
        <w:rPr>
          <w:rFonts w:hint="eastAsia" w:ascii="宋体" w:hAnsi="宋体" w:eastAsia="宋体" w:cs="宋体"/>
          <w:sz w:val="21"/>
          <w:szCs w:val="21"/>
        </w:rPr>
        <w:t>配送已经成为了现代社会生活的重要组成部分，配送形式主要分为</w:t>
      </w:r>
      <w:r>
        <w:rPr>
          <w:rFonts w:hint="eastAsia" w:ascii="宋体" w:hAnsi="宋体" w:eastAsia="宋体" w:cs="宋体"/>
          <w:sz w:val="21"/>
          <w:szCs w:val="21"/>
        </w:rPr>
        <w:t>城际配送(包括干线、支线配送)、城市配送(包括短驳、末端配送)。毫无疑问，</w:t>
      </w:r>
      <w:r>
        <w:rPr>
          <w:rFonts w:hint="eastAsia" w:ascii="宋体" w:hAnsi="宋体" w:eastAsia="宋体" w:cs="宋体"/>
          <w:sz w:val="21"/>
          <w:szCs w:val="21"/>
        </w:rPr>
        <w:t>从支线到末端配送都</w:t>
      </w:r>
      <w:r>
        <w:rPr>
          <w:rFonts w:hint="eastAsia" w:ascii="宋体" w:hAnsi="宋体" w:eastAsia="宋体" w:cs="宋体"/>
          <w:sz w:val="21"/>
          <w:szCs w:val="21"/>
        </w:rPr>
        <w:t>极度</w:t>
      </w:r>
      <w:r>
        <w:rPr>
          <w:rFonts w:hint="eastAsia" w:ascii="宋体" w:hAnsi="宋体" w:eastAsia="宋体" w:cs="宋体"/>
          <w:sz w:val="21"/>
          <w:szCs w:val="21"/>
        </w:rPr>
        <w:t>适合纯电动汽车使用。</w:t>
      </w:r>
      <w:r>
        <w:rPr>
          <w:rFonts w:hint="eastAsia" w:ascii="宋体" w:hAnsi="宋体" w:eastAsia="宋体" w:cs="宋体"/>
          <w:sz w:val="21"/>
          <w:szCs w:val="21"/>
        </w:rPr>
        <w:t>此外，</w:t>
      </w:r>
      <w:r>
        <w:rPr>
          <w:rFonts w:hint="eastAsia" w:ascii="宋体" w:hAnsi="宋体" w:eastAsia="宋体" w:cs="宋体"/>
          <w:sz w:val="21"/>
          <w:szCs w:val="21"/>
        </w:rPr>
        <w:t>我国</w:t>
      </w:r>
      <w:r>
        <w:rPr>
          <w:rFonts w:hint="eastAsia" w:ascii="宋体" w:hAnsi="宋体" w:eastAsia="宋体" w:cs="宋体"/>
          <w:sz w:val="21"/>
          <w:szCs w:val="21"/>
        </w:rPr>
        <w:t>针对</w:t>
      </w:r>
      <w:r>
        <w:rPr>
          <w:rFonts w:hint="eastAsia" w:ascii="宋体" w:hAnsi="宋体" w:eastAsia="宋体" w:cs="宋体"/>
          <w:sz w:val="21"/>
          <w:szCs w:val="21"/>
        </w:rPr>
        <w:t>物流用电动汽车补贴</w:t>
      </w:r>
      <w:r>
        <w:rPr>
          <w:rFonts w:hint="eastAsia" w:ascii="宋体" w:hAnsi="宋体" w:eastAsia="宋体" w:cs="宋体"/>
          <w:sz w:val="21"/>
          <w:szCs w:val="21"/>
        </w:rPr>
        <w:t>政策</w:t>
      </w:r>
      <w:r>
        <w:rPr>
          <w:rFonts w:hint="eastAsia" w:ascii="宋体" w:hAnsi="宋体" w:eastAsia="宋体" w:cs="宋体"/>
          <w:sz w:val="21"/>
          <w:szCs w:val="21"/>
        </w:rPr>
        <w:t>也有望在</w:t>
      </w:r>
      <w:r>
        <w:rPr>
          <w:rFonts w:hint="eastAsia" w:ascii="宋体" w:hAnsi="宋体" w:eastAsia="宋体" w:cs="宋体"/>
          <w:sz w:val="21"/>
          <w:szCs w:val="21"/>
        </w:rPr>
        <w:t>2017年</w:t>
      </w:r>
      <w:r>
        <w:rPr>
          <w:rFonts w:hint="eastAsia" w:ascii="宋体" w:hAnsi="宋体" w:eastAsia="宋体" w:cs="宋体"/>
          <w:sz w:val="21"/>
          <w:szCs w:val="21"/>
        </w:rPr>
        <w:t>第三季度落地。在</w:t>
      </w:r>
      <w:r>
        <w:rPr>
          <w:rFonts w:hint="eastAsia" w:ascii="宋体" w:hAnsi="宋体" w:eastAsia="宋体" w:cs="宋体"/>
          <w:sz w:val="21"/>
          <w:szCs w:val="21"/>
        </w:rPr>
        <w:t>国家</w:t>
      </w:r>
      <w:r>
        <w:rPr>
          <w:rFonts w:hint="eastAsia" w:ascii="宋体" w:hAnsi="宋体" w:eastAsia="宋体" w:cs="宋体"/>
          <w:sz w:val="21"/>
          <w:szCs w:val="21"/>
        </w:rPr>
        <w:t>全方位的支持之下，纯电动物流车的购置费用有望大幅度降低</w:t>
      </w:r>
      <w:r>
        <w:rPr>
          <w:rFonts w:hint="eastAsia" w:ascii="宋体" w:hAnsi="宋体" w:eastAsia="宋体" w:cs="宋体"/>
          <w:sz w:val="21"/>
          <w:szCs w:val="21"/>
        </w:rPr>
        <w:t>，</w:t>
      </w:r>
      <w:r>
        <w:rPr>
          <w:rFonts w:hint="eastAsia" w:ascii="宋体" w:hAnsi="宋体" w:eastAsia="宋体" w:cs="宋体"/>
          <w:sz w:val="21"/>
          <w:szCs w:val="21"/>
        </w:rPr>
        <w:t>再加上纯电动汽车充电费用仅仅是相同载重量燃油汽车的四分之一到五分之一，</w:t>
      </w:r>
      <w:r>
        <w:rPr>
          <w:rFonts w:hint="eastAsia" w:ascii="宋体" w:hAnsi="宋体" w:eastAsia="宋体" w:cs="宋体"/>
          <w:sz w:val="21"/>
          <w:szCs w:val="21"/>
        </w:rPr>
        <w:t>将</w:t>
      </w:r>
      <w:r>
        <w:rPr>
          <w:rFonts w:hint="eastAsia" w:ascii="宋体" w:hAnsi="宋体" w:eastAsia="宋体" w:cs="宋体"/>
          <w:sz w:val="21"/>
          <w:szCs w:val="21"/>
        </w:rPr>
        <w:t>使纯电动</w:t>
      </w:r>
      <w:r>
        <w:rPr>
          <w:rFonts w:hint="eastAsia" w:ascii="宋体" w:hAnsi="宋体" w:eastAsia="宋体" w:cs="宋体"/>
          <w:sz w:val="21"/>
          <w:szCs w:val="21"/>
        </w:rPr>
        <w:t>物流车</w:t>
      </w:r>
      <w:r>
        <w:rPr>
          <w:rFonts w:hint="eastAsia" w:ascii="宋体" w:hAnsi="宋体" w:eastAsia="宋体" w:cs="宋体"/>
          <w:sz w:val="21"/>
          <w:szCs w:val="21"/>
        </w:rPr>
        <w:t>全生命周期中经济</w:t>
      </w:r>
      <w:r>
        <w:rPr>
          <w:rFonts w:hint="eastAsia" w:ascii="宋体" w:hAnsi="宋体" w:eastAsia="宋体" w:cs="宋体"/>
          <w:sz w:val="21"/>
          <w:szCs w:val="21"/>
        </w:rPr>
        <w:t>性</w:t>
      </w:r>
      <w:r>
        <w:rPr>
          <w:rFonts w:hint="eastAsia" w:ascii="宋体" w:hAnsi="宋体" w:eastAsia="宋体" w:cs="宋体"/>
          <w:sz w:val="21"/>
          <w:szCs w:val="21"/>
        </w:rPr>
        <w:t>表现突出。</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出租车方面</w:t>
      </w:r>
      <w:r>
        <w:rPr>
          <w:rFonts w:hint="eastAsia" w:ascii="宋体" w:hAnsi="宋体" w:eastAsia="宋体" w:cs="宋体"/>
          <w:sz w:val="21"/>
          <w:szCs w:val="21"/>
        </w:rPr>
        <w:t>，由于其超长的工作时间和几乎无休的工作模式，成为了纯电动汽车攻克的难点所在。</w:t>
      </w:r>
      <w:r>
        <w:rPr>
          <w:rFonts w:hint="eastAsia" w:ascii="宋体" w:hAnsi="宋体" w:eastAsia="宋体" w:cs="宋体"/>
          <w:sz w:val="21"/>
          <w:szCs w:val="21"/>
        </w:rPr>
        <w:t>目前</w:t>
      </w:r>
      <w:r>
        <w:rPr>
          <w:rFonts w:hint="eastAsia" w:ascii="宋体" w:hAnsi="宋体" w:eastAsia="宋体" w:cs="宋体"/>
          <w:sz w:val="21"/>
          <w:szCs w:val="21"/>
        </w:rPr>
        <w:t>，我国</w:t>
      </w:r>
      <w:r>
        <w:rPr>
          <w:rFonts w:hint="eastAsia" w:ascii="宋体" w:hAnsi="宋体" w:eastAsia="宋体" w:cs="宋体"/>
          <w:sz w:val="21"/>
          <w:szCs w:val="21"/>
        </w:rPr>
        <w:t>山西省省会</w:t>
      </w:r>
      <w:r>
        <w:rPr>
          <w:rFonts w:hint="eastAsia" w:ascii="宋体" w:hAnsi="宋体" w:eastAsia="宋体" w:cs="宋体"/>
          <w:sz w:val="21"/>
          <w:szCs w:val="21"/>
        </w:rPr>
        <w:t>太原于</w:t>
      </w:r>
      <w:r>
        <w:rPr>
          <w:rFonts w:hint="eastAsia" w:ascii="宋体" w:hAnsi="宋体" w:eastAsia="宋体" w:cs="宋体"/>
          <w:sz w:val="21"/>
          <w:szCs w:val="21"/>
        </w:rPr>
        <w:t>201</w:t>
      </w:r>
      <w:r>
        <w:rPr>
          <w:rFonts w:hint="eastAsia" w:ascii="宋体" w:hAnsi="宋体" w:eastAsia="宋体" w:cs="宋体"/>
          <w:sz w:val="21"/>
          <w:szCs w:val="21"/>
        </w:rPr>
        <w:t>6</w:t>
      </w:r>
      <w:r>
        <w:rPr>
          <w:rFonts w:hint="eastAsia" w:ascii="宋体" w:hAnsi="宋体" w:eastAsia="宋体" w:cs="宋体"/>
          <w:sz w:val="21"/>
          <w:szCs w:val="21"/>
        </w:rPr>
        <w:t>年初</w:t>
      </w:r>
      <w:r>
        <w:rPr>
          <w:rFonts w:hint="eastAsia" w:ascii="宋体" w:hAnsi="宋体" w:eastAsia="宋体" w:cs="宋体"/>
          <w:sz w:val="21"/>
          <w:szCs w:val="21"/>
        </w:rPr>
        <w:t>启动了</w:t>
      </w:r>
      <w:r>
        <w:rPr>
          <w:rFonts w:hint="eastAsia" w:ascii="宋体" w:hAnsi="宋体" w:eastAsia="宋体" w:cs="宋体"/>
          <w:sz w:val="21"/>
          <w:szCs w:val="21"/>
        </w:rPr>
        <w:t>更换</w:t>
      </w:r>
      <w:r>
        <w:rPr>
          <w:rFonts w:hint="eastAsia" w:ascii="宋体" w:hAnsi="宋体" w:eastAsia="宋体" w:cs="宋体"/>
          <w:sz w:val="21"/>
          <w:szCs w:val="21"/>
        </w:rPr>
        <w:t>纯电动出租车项目</w:t>
      </w:r>
      <w:r>
        <w:rPr>
          <w:rFonts w:hint="eastAsia" w:ascii="宋体" w:hAnsi="宋体" w:eastAsia="宋体" w:cs="宋体"/>
          <w:sz w:val="21"/>
          <w:szCs w:val="21"/>
        </w:rPr>
        <w:t>，并于</w:t>
      </w:r>
      <w:r>
        <w:rPr>
          <w:rFonts w:hint="eastAsia" w:ascii="宋体" w:hAnsi="宋体" w:eastAsia="宋体" w:cs="宋体"/>
          <w:sz w:val="21"/>
          <w:szCs w:val="21"/>
        </w:rPr>
        <w:t>年底完成了全市</w:t>
      </w:r>
      <w:r>
        <w:rPr>
          <w:rFonts w:hint="eastAsia" w:ascii="宋体" w:hAnsi="宋体" w:eastAsia="宋体" w:cs="宋体"/>
          <w:sz w:val="21"/>
          <w:szCs w:val="21"/>
        </w:rPr>
        <w:t>8292辆</w:t>
      </w:r>
      <w:r>
        <w:rPr>
          <w:rFonts w:hint="eastAsia" w:ascii="宋体" w:hAnsi="宋体" w:eastAsia="宋体" w:cs="宋体"/>
          <w:sz w:val="21"/>
          <w:szCs w:val="21"/>
        </w:rPr>
        <w:t>出租车更换。</w:t>
      </w:r>
      <w:r>
        <w:rPr>
          <w:rFonts w:hint="eastAsia" w:ascii="宋体" w:hAnsi="宋体" w:eastAsia="宋体" w:cs="宋体"/>
          <w:sz w:val="21"/>
          <w:szCs w:val="21"/>
        </w:rPr>
        <w:t>成为</w:t>
      </w:r>
      <w:r>
        <w:rPr>
          <w:rFonts w:hint="eastAsia" w:ascii="宋体" w:hAnsi="宋体" w:eastAsia="宋体" w:cs="宋体"/>
          <w:sz w:val="21"/>
          <w:szCs w:val="21"/>
        </w:rPr>
        <w:t>行业经典案例，供</w:t>
      </w:r>
      <w:r>
        <w:rPr>
          <w:rFonts w:hint="eastAsia" w:ascii="宋体" w:hAnsi="宋体" w:eastAsia="宋体" w:cs="宋体"/>
          <w:sz w:val="21"/>
          <w:szCs w:val="21"/>
        </w:rPr>
        <w:t>其他</w:t>
      </w:r>
      <w:r>
        <w:rPr>
          <w:rFonts w:hint="eastAsia" w:ascii="宋体" w:hAnsi="宋体" w:eastAsia="宋体" w:cs="宋体"/>
          <w:sz w:val="21"/>
          <w:szCs w:val="21"/>
        </w:rPr>
        <w:t>同类城市参考。</w:t>
      </w:r>
    </w:p>
    <w:p>
      <w:pPr>
        <w:pStyle w:val="8"/>
        <w:pageBreakBefore w:val="0"/>
        <w:widowControl w:val="0"/>
        <w:numPr>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配套充电桩基础设施建设</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与</w:t>
      </w:r>
      <w:r>
        <w:rPr>
          <w:rFonts w:hint="eastAsia" w:ascii="宋体" w:hAnsi="宋体" w:eastAsia="宋体" w:cs="宋体"/>
          <w:sz w:val="21"/>
          <w:szCs w:val="21"/>
        </w:rPr>
        <w:t>纯电动汽车快速发展相</w:t>
      </w:r>
      <w:r>
        <w:rPr>
          <w:rFonts w:hint="eastAsia" w:ascii="宋体" w:hAnsi="宋体" w:eastAsia="宋体" w:cs="宋体"/>
          <w:sz w:val="21"/>
          <w:szCs w:val="21"/>
        </w:rPr>
        <w:t>反</w:t>
      </w:r>
      <w:r>
        <w:rPr>
          <w:rFonts w:hint="eastAsia" w:ascii="宋体" w:hAnsi="宋体" w:eastAsia="宋体" w:cs="宋体"/>
          <w:sz w:val="21"/>
          <w:szCs w:val="21"/>
        </w:rPr>
        <w:t>，</w:t>
      </w:r>
      <w:r>
        <w:rPr>
          <w:rFonts w:hint="eastAsia" w:ascii="宋体" w:hAnsi="宋体" w:eastAsia="宋体" w:cs="宋体"/>
          <w:sz w:val="21"/>
          <w:szCs w:val="21"/>
        </w:rPr>
        <w:t>充电桩</w:t>
      </w:r>
      <w:r>
        <w:rPr>
          <w:rFonts w:hint="eastAsia" w:ascii="宋体" w:hAnsi="宋体" w:eastAsia="宋体" w:cs="宋体"/>
          <w:sz w:val="21"/>
          <w:szCs w:val="21"/>
        </w:rPr>
        <w:t>建设却</w:t>
      </w:r>
      <w:r>
        <w:rPr>
          <w:rFonts w:hint="eastAsia" w:ascii="宋体" w:hAnsi="宋体" w:eastAsia="宋体" w:cs="宋体"/>
          <w:sz w:val="21"/>
          <w:szCs w:val="21"/>
        </w:rPr>
        <w:t>无法</w:t>
      </w:r>
      <w:r>
        <w:rPr>
          <w:rFonts w:hint="eastAsia" w:ascii="宋体" w:hAnsi="宋体" w:eastAsia="宋体" w:cs="宋体"/>
          <w:sz w:val="21"/>
          <w:szCs w:val="21"/>
        </w:rPr>
        <w:t>与之相比。</w:t>
      </w:r>
      <w:r>
        <w:rPr>
          <w:rFonts w:hint="eastAsia" w:ascii="宋体" w:hAnsi="宋体" w:eastAsia="宋体" w:cs="宋体"/>
          <w:sz w:val="21"/>
          <w:szCs w:val="21"/>
        </w:rPr>
        <w:t>其</w:t>
      </w:r>
      <w:r>
        <w:rPr>
          <w:rFonts w:hint="eastAsia" w:ascii="宋体" w:hAnsi="宋体" w:eastAsia="宋体" w:cs="宋体"/>
          <w:sz w:val="21"/>
          <w:szCs w:val="21"/>
        </w:rPr>
        <w:t>建设成本高、收益低、</w:t>
      </w:r>
      <w:r>
        <w:rPr>
          <w:rFonts w:hint="eastAsia" w:ascii="宋体" w:hAnsi="宋体" w:eastAsia="宋体" w:cs="宋体"/>
          <w:sz w:val="21"/>
          <w:szCs w:val="21"/>
        </w:rPr>
        <w:t>数量少</w:t>
      </w:r>
      <w:r>
        <w:rPr>
          <w:rFonts w:hint="eastAsia" w:ascii="宋体" w:hAnsi="宋体" w:eastAsia="宋体" w:cs="宋体"/>
          <w:sz w:val="21"/>
          <w:szCs w:val="21"/>
        </w:rPr>
        <w:t>、布局难，都是我国现在面临</w:t>
      </w:r>
      <w:r>
        <w:rPr>
          <w:rFonts w:hint="eastAsia" w:ascii="宋体" w:hAnsi="宋体" w:eastAsia="宋体" w:cs="宋体"/>
          <w:sz w:val="21"/>
          <w:szCs w:val="21"/>
        </w:rPr>
        <w:t>的</w:t>
      </w:r>
      <w:r>
        <w:rPr>
          <w:rFonts w:hint="eastAsia" w:ascii="宋体" w:hAnsi="宋体" w:eastAsia="宋体" w:cs="宋体"/>
          <w:sz w:val="21"/>
          <w:szCs w:val="21"/>
        </w:rPr>
        <w:t>困境。</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5274310" cy="3076575"/>
            <wp:effectExtent l="0" t="0" r="254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8"/>
        <w:pageBreakBefore w:val="0"/>
        <w:widowControl w:val="0"/>
        <w:kinsoku/>
        <w:wordWrap/>
        <w:overflowPunct/>
        <w:topLinePunct w:val="0"/>
        <w:autoSpaceDE/>
        <w:autoSpaceDN/>
        <w:bidi w:val="0"/>
        <w:adjustRightInd w:val="0"/>
        <w:snapToGrid w:val="0"/>
        <w:spacing w:line="240" w:lineRule="auto"/>
        <w:ind w:left="480" w:right="0" w:rightChars="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表1：</w:t>
      </w:r>
      <w:r>
        <w:rPr>
          <w:rFonts w:hint="eastAsia" w:ascii="宋体" w:hAnsi="宋体" w:eastAsia="宋体" w:cs="宋体"/>
          <w:sz w:val="21"/>
          <w:szCs w:val="21"/>
        </w:rPr>
        <w:t>各地区纯电动汽车车桩比</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目前，我国建成公共充电桩18万个，加入</w:t>
      </w:r>
      <w:r>
        <w:rPr>
          <w:rFonts w:hint="eastAsia" w:ascii="宋体" w:hAnsi="宋体" w:eastAsia="宋体" w:cs="宋体"/>
          <w:sz w:val="21"/>
          <w:szCs w:val="21"/>
        </w:rPr>
        <w:t>部分</w:t>
      </w:r>
      <w:r>
        <w:rPr>
          <w:rFonts w:hint="eastAsia" w:ascii="宋体" w:hAnsi="宋体" w:eastAsia="宋体" w:cs="宋体"/>
          <w:sz w:val="21"/>
          <w:szCs w:val="21"/>
        </w:rPr>
        <w:t>私人充电桩，总的车桩比也不过4:1，远远</w:t>
      </w:r>
      <w:r>
        <w:rPr>
          <w:rFonts w:hint="eastAsia" w:ascii="宋体" w:hAnsi="宋体" w:eastAsia="宋体" w:cs="宋体"/>
          <w:sz w:val="21"/>
          <w:szCs w:val="21"/>
        </w:rPr>
        <w:t>无法满足车辆</w:t>
      </w:r>
      <w:r>
        <w:rPr>
          <w:rFonts w:hint="eastAsia" w:ascii="宋体" w:hAnsi="宋体" w:eastAsia="宋体" w:cs="宋体"/>
          <w:sz w:val="21"/>
          <w:szCs w:val="21"/>
        </w:rPr>
        <w:t>充电</w:t>
      </w:r>
      <w:r>
        <w:rPr>
          <w:rFonts w:hint="eastAsia" w:ascii="宋体" w:hAnsi="宋体" w:eastAsia="宋体" w:cs="宋体"/>
          <w:sz w:val="21"/>
          <w:szCs w:val="21"/>
        </w:rPr>
        <w:t>问题。</w:t>
      </w:r>
      <w:r>
        <w:rPr>
          <w:rFonts w:hint="eastAsia" w:ascii="宋体" w:hAnsi="宋体" w:eastAsia="宋体" w:cs="宋体"/>
          <w:sz w:val="21"/>
          <w:szCs w:val="21"/>
        </w:rPr>
        <w:t>为了</w:t>
      </w:r>
      <w:r>
        <w:rPr>
          <w:rFonts w:hint="eastAsia" w:ascii="宋体" w:hAnsi="宋体" w:eastAsia="宋体" w:cs="宋体"/>
          <w:sz w:val="21"/>
          <w:szCs w:val="21"/>
        </w:rPr>
        <w:t>推动电动汽车发展，全力开展充电桩铺设无疑是重中之重。</w:t>
      </w:r>
    </w:p>
    <w:p>
      <w:pPr>
        <w:pStyle w:val="8"/>
        <w:pageBreakBefore w:val="0"/>
        <w:widowControl w:val="0"/>
        <w:numPr>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三</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结束语</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随着</w:t>
      </w:r>
      <w:r>
        <w:rPr>
          <w:rFonts w:hint="eastAsia" w:ascii="宋体" w:hAnsi="宋体" w:eastAsia="宋体" w:cs="宋体"/>
          <w:sz w:val="21"/>
          <w:szCs w:val="21"/>
        </w:rPr>
        <w:t>环境问题的日益严重以及国家对于纯电动汽车政策导向作用，我国的纯电动汽车在商用和乘用方面都得到了长足的发展</w:t>
      </w:r>
      <w:r>
        <w:rPr>
          <w:rFonts w:hint="eastAsia" w:ascii="宋体" w:hAnsi="宋体" w:eastAsia="宋体" w:cs="宋体"/>
          <w:sz w:val="21"/>
          <w:szCs w:val="21"/>
        </w:rPr>
        <w:t>。，</w:t>
      </w:r>
      <w:r>
        <w:rPr>
          <w:rFonts w:hint="eastAsia" w:ascii="宋体" w:hAnsi="宋体" w:eastAsia="宋体" w:cs="宋体"/>
          <w:sz w:val="21"/>
          <w:szCs w:val="21"/>
        </w:rPr>
        <w:t>但是</w:t>
      </w:r>
      <w:r>
        <w:rPr>
          <w:rFonts w:hint="eastAsia" w:ascii="宋体" w:hAnsi="宋体" w:eastAsia="宋体" w:cs="宋体"/>
          <w:sz w:val="21"/>
          <w:szCs w:val="21"/>
        </w:rPr>
        <w:t>，</w:t>
      </w:r>
      <w:r>
        <w:rPr>
          <w:rFonts w:hint="eastAsia" w:ascii="宋体" w:hAnsi="宋体" w:eastAsia="宋体" w:cs="宋体"/>
          <w:sz w:val="21"/>
          <w:szCs w:val="21"/>
        </w:rPr>
        <w:t>与之</w:t>
      </w:r>
      <w:r>
        <w:rPr>
          <w:rFonts w:hint="eastAsia" w:ascii="宋体" w:hAnsi="宋体" w:eastAsia="宋体" w:cs="宋体"/>
          <w:sz w:val="21"/>
          <w:szCs w:val="21"/>
        </w:rPr>
        <w:t>不</w:t>
      </w:r>
      <w:r>
        <w:rPr>
          <w:rFonts w:hint="eastAsia" w:ascii="宋体" w:hAnsi="宋体" w:eastAsia="宋体" w:cs="宋体"/>
          <w:sz w:val="21"/>
          <w:szCs w:val="21"/>
        </w:rPr>
        <w:t>协调的是电动汽车后市场，特别是充电站建设的滞后</w:t>
      </w:r>
      <w:r>
        <w:rPr>
          <w:rFonts w:hint="eastAsia" w:ascii="宋体" w:hAnsi="宋体" w:eastAsia="宋体" w:cs="宋体"/>
          <w:sz w:val="21"/>
          <w:szCs w:val="21"/>
        </w:rPr>
        <w:t>，</w:t>
      </w:r>
      <w:r>
        <w:rPr>
          <w:rFonts w:hint="eastAsia" w:ascii="宋体" w:hAnsi="宋体" w:eastAsia="宋体" w:cs="宋体"/>
          <w:sz w:val="21"/>
          <w:szCs w:val="21"/>
        </w:rPr>
        <w:t>这也严重地影响了产业结构进一步发展和升级。</w:t>
      </w:r>
    </w:p>
    <w:p>
      <w:pPr>
        <w:pageBreakBefore w:val="0"/>
        <w:widowControl w:val="0"/>
        <w:kinsoku/>
        <w:wordWrap/>
        <w:overflowPunct/>
        <w:topLinePunct w:val="0"/>
        <w:autoSpaceDE/>
        <w:autoSpaceDN/>
        <w:bidi w:val="0"/>
        <w:adjustRightInd w:val="0"/>
        <w:snapToGrid w:val="0"/>
        <w:spacing w:line="240" w:lineRule="auto"/>
        <w:ind w:right="0" w:righ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参考</w:t>
      </w:r>
      <w:r>
        <w:rPr>
          <w:rFonts w:hint="eastAsia" w:ascii="宋体" w:hAnsi="宋体" w:eastAsia="宋体" w:cs="宋体"/>
          <w:b/>
          <w:bCs/>
          <w:sz w:val="21"/>
          <w:szCs w:val="21"/>
        </w:rPr>
        <w:t>文献：</w:t>
      </w:r>
    </w:p>
    <w:p>
      <w:pPr>
        <w:pStyle w:val="8"/>
        <w:pageBreakBefore w:val="0"/>
        <w:widowControl w:val="0"/>
        <w:numPr>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International Energy Agency. Global-EV-Outlook 2015[R].Paris: IEA,2015.</w:t>
      </w:r>
    </w:p>
    <w:p>
      <w:pPr>
        <w:pageBreakBefore w:val="0"/>
        <w:widowControl w:val="0"/>
        <w:kinsoku/>
        <w:wordWrap/>
        <w:overflowPunct/>
        <w:topLinePunct w:val="0"/>
        <w:autoSpaceDE/>
        <w:autoSpaceDN/>
        <w:bidi w:val="0"/>
        <w:adjustRightInd w:val="0"/>
        <w:snapToGrid w:val="0"/>
        <w:spacing w:line="240" w:lineRule="auto"/>
        <w:ind w:right="0" w:righ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作者</w:t>
      </w:r>
      <w:r>
        <w:rPr>
          <w:rFonts w:hint="eastAsia" w:ascii="宋体" w:hAnsi="宋体" w:eastAsia="宋体" w:cs="宋体"/>
          <w:b/>
          <w:bCs/>
          <w:sz w:val="21"/>
          <w:szCs w:val="21"/>
          <w:lang w:eastAsia="zh-CN"/>
        </w:rPr>
        <w:t>简介：</w:t>
      </w:r>
      <w:r>
        <w:rPr>
          <w:rFonts w:hint="eastAsia" w:ascii="宋体" w:hAnsi="宋体" w:eastAsia="宋体" w:cs="宋体"/>
          <w:sz w:val="21"/>
          <w:szCs w:val="21"/>
        </w:rPr>
        <w:t>陈</w:t>
      </w:r>
      <w:r>
        <w:rPr>
          <w:rFonts w:hint="eastAsia" w:ascii="宋体" w:hAnsi="宋体" w:eastAsia="宋体" w:cs="宋体"/>
          <w:sz w:val="21"/>
          <w:szCs w:val="21"/>
        </w:rPr>
        <w:t>念文（</w:t>
      </w:r>
      <w:r>
        <w:rPr>
          <w:rFonts w:hint="eastAsia" w:ascii="宋体" w:hAnsi="宋体" w:eastAsia="宋体" w:cs="宋体"/>
          <w:sz w:val="21"/>
          <w:szCs w:val="21"/>
        </w:rPr>
        <w:t>1984</w:t>
      </w:r>
      <w:r>
        <w:rPr>
          <w:rFonts w:hint="eastAsia" w:ascii="宋体" w:hAnsi="宋体" w:eastAsia="宋体" w:cs="宋体"/>
          <w:sz w:val="21"/>
          <w:szCs w:val="21"/>
        </w:rPr>
        <w:t>-）</w:t>
      </w:r>
      <w:r>
        <w:rPr>
          <w:rFonts w:hint="eastAsia" w:ascii="宋体" w:hAnsi="宋体" w:eastAsia="宋体" w:cs="宋体"/>
          <w:sz w:val="21"/>
          <w:szCs w:val="21"/>
        </w:rPr>
        <w:t>，</w:t>
      </w:r>
      <w:r>
        <w:rPr>
          <w:rFonts w:hint="eastAsia" w:ascii="宋体" w:hAnsi="宋体" w:eastAsia="宋体" w:cs="宋体"/>
          <w:sz w:val="21"/>
          <w:szCs w:val="21"/>
        </w:rPr>
        <w:t>女，汉族，江苏省南京市，硕士，助教，主要研究汽车动力学，流体及新能源汽车</w:t>
      </w:r>
      <w:r>
        <w:rPr>
          <w:rFonts w:hint="eastAsia" w:ascii="宋体" w:hAnsi="宋体" w:eastAsia="宋体" w:cs="宋体"/>
          <w:sz w:val="21"/>
          <w:szCs w:val="21"/>
          <w:lang w:val="en-US" w:eastAsia="zh-CN"/>
        </w:rPr>
        <w:t>.</w:t>
      </w:r>
    </w:p>
    <w:p>
      <w:pPr>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ascii="宋体" w:hAnsi="宋体" w:eastAsia="宋体" w:cs="宋体"/>
          <w:sz w:val="21"/>
          <w:szCs w:val="21"/>
        </w:rPr>
      </w:pPr>
    </w:p>
    <w:sectPr>
      <w:pgSz w:w="11906" w:h="16838"/>
      <w:pgMar w:top="850" w:right="567"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FC"/>
    <w:rsid w:val="00016311"/>
    <w:rsid w:val="00045BE2"/>
    <w:rsid w:val="00053080"/>
    <w:rsid w:val="00085AA6"/>
    <w:rsid w:val="00145804"/>
    <w:rsid w:val="001D5060"/>
    <w:rsid w:val="00251B8C"/>
    <w:rsid w:val="00280925"/>
    <w:rsid w:val="002C6B5B"/>
    <w:rsid w:val="002D373A"/>
    <w:rsid w:val="002F01D1"/>
    <w:rsid w:val="00331589"/>
    <w:rsid w:val="003937D0"/>
    <w:rsid w:val="003F0ACA"/>
    <w:rsid w:val="00453249"/>
    <w:rsid w:val="00467D7D"/>
    <w:rsid w:val="00486D45"/>
    <w:rsid w:val="00673D72"/>
    <w:rsid w:val="006C5BF2"/>
    <w:rsid w:val="006E5FC0"/>
    <w:rsid w:val="006F018B"/>
    <w:rsid w:val="00757B5D"/>
    <w:rsid w:val="007C2053"/>
    <w:rsid w:val="007D66AF"/>
    <w:rsid w:val="007E5FEE"/>
    <w:rsid w:val="00814E70"/>
    <w:rsid w:val="00831A64"/>
    <w:rsid w:val="008720A0"/>
    <w:rsid w:val="0089265A"/>
    <w:rsid w:val="008C449B"/>
    <w:rsid w:val="009D2C75"/>
    <w:rsid w:val="00A11AF3"/>
    <w:rsid w:val="00A500CA"/>
    <w:rsid w:val="00A96BBF"/>
    <w:rsid w:val="00A96F58"/>
    <w:rsid w:val="00AA1F3B"/>
    <w:rsid w:val="00AF0DE9"/>
    <w:rsid w:val="00BC42FC"/>
    <w:rsid w:val="00C1520A"/>
    <w:rsid w:val="00CB7F0E"/>
    <w:rsid w:val="00D14DD4"/>
    <w:rsid w:val="00D173E4"/>
    <w:rsid w:val="00D32030"/>
    <w:rsid w:val="00D762C6"/>
    <w:rsid w:val="00DB482E"/>
    <w:rsid w:val="00DC2D34"/>
    <w:rsid w:val="00DD4A15"/>
    <w:rsid w:val="00E06B85"/>
    <w:rsid w:val="00E53BC7"/>
    <w:rsid w:val="00E55017"/>
    <w:rsid w:val="00EB03F0"/>
    <w:rsid w:val="00F1548B"/>
    <w:rsid w:val="0A1430F8"/>
    <w:rsid w:val="4EC13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character" w:customStyle="1" w:styleId="6">
    <w:name w:val="标题 1 Char"/>
    <w:basedOn w:val="4"/>
    <w:link w:val="2"/>
    <w:qFormat/>
    <w:uiPriority w:val="9"/>
    <w:rPr>
      <w:b/>
      <w:bCs/>
      <w:kern w:val="44"/>
      <w:sz w:val="44"/>
      <w:szCs w:val="44"/>
    </w:rPr>
  </w:style>
  <w:style w:type="character" w:customStyle="1" w:styleId="7">
    <w:name w:val="标题 2 Char"/>
    <w:basedOn w:val="4"/>
    <w:link w:val="3"/>
    <w:qFormat/>
    <w:uiPriority w:val="9"/>
    <w:rPr>
      <w:rFonts w:asciiTheme="majorHAnsi" w:hAnsiTheme="majorHAnsi" w:eastAsiaTheme="majorEastAsia" w:cstheme="majorBidi"/>
      <w:b/>
      <w:bCs/>
      <w:sz w:val="32"/>
      <w:szCs w:val="32"/>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cap="all" spc="120" normalizeH="0" baseline="0">
                <a:solidFill>
                  <a:schemeClr val="tx1">
                    <a:lumMod val="65000"/>
                    <a:lumOff val="35000"/>
                  </a:schemeClr>
                </a:solidFill>
                <a:latin typeface="+mn-lt"/>
                <a:ea typeface="+mn-ea"/>
                <a:cs typeface="+mn-cs"/>
              </a:defRPr>
            </a:pPr>
            <a:r>
              <a:rPr lang="zh-CN"/>
              <a:t>各地区纯电动汽车车桩比</a:t>
            </a:r>
            <a:endParaRPr 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纯电动汽车保有量（辆）</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Sheet1!$A$2:$A$11</c:f>
              <c:strCache>
                <c:ptCount val="10"/>
                <c:pt idx="0">
                  <c:v>北京</c:v>
                </c:pt>
                <c:pt idx="1">
                  <c:v>广东</c:v>
                </c:pt>
                <c:pt idx="2">
                  <c:v>上海</c:v>
                </c:pt>
                <c:pt idx="3">
                  <c:v>安徽</c:v>
                </c:pt>
                <c:pt idx="4">
                  <c:v>河北</c:v>
                </c:pt>
                <c:pt idx="5">
                  <c:v>天津</c:v>
                </c:pt>
                <c:pt idx="6">
                  <c:v>杭州</c:v>
                </c:pt>
                <c:pt idx="7">
                  <c:v>重庆</c:v>
                </c:pt>
                <c:pt idx="8">
                  <c:v>河南</c:v>
                </c:pt>
                <c:pt idx="9">
                  <c:v>厦门</c:v>
                </c:pt>
              </c:strCache>
            </c:strRef>
          </c:cat>
          <c:val>
            <c:numRef>
              <c:f>Sheet1!$B$2:$B$11</c:f>
              <c:numCache>
                <c:formatCode>General</c:formatCode>
                <c:ptCount val="10"/>
                <c:pt idx="0">
                  <c:v>100000</c:v>
                </c:pt>
                <c:pt idx="1">
                  <c:v>100000</c:v>
                </c:pt>
                <c:pt idx="2">
                  <c:v>102000</c:v>
                </c:pt>
                <c:pt idx="3">
                  <c:v>50000</c:v>
                </c:pt>
                <c:pt idx="4">
                  <c:v>26400</c:v>
                </c:pt>
                <c:pt idx="5">
                  <c:v>38500</c:v>
                </c:pt>
                <c:pt idx="6">
                  <c:v>20000</c:v>
                </c:pt>
                <c:pt idx="7">
                  <c:v>10000</c:v>
                </c:pt>
                <c:pt idx="8">
                  <c:v>13600</c:v>
                </c:pt>
                <c:pt idx="9">
                  <c:v>9300</c:v>
                </c:pt>
              </c:numCache>
            </c:numRef>
          </c:val>
        </c:ser>
        <c:ser>
          <c:idx val="1"/>
          <c:order val="1"/>
          <c:tx>
            <c:strRef>
              <c:f>Sheet1!$C$1</c:f>
              <c:strCache>
                <c:ptCount val="1"/>
                <c:pt idx="0">
                  <c:v>公共充电桩数量</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Sheet1!$A$2:$A$11</c:f>
              <c:strCache>
                <c:ptCount val="10"/>
                <c:pt idx="0">
                  <c:v>北京</c:v>
                </c:pt>
                <c:pt idx="1">
                  <c:v>广东</c:v>
                </c:pt>
                <c:pt idx="2">
                  <c:v>上海</c:v>
                </c:pt>
                <c:pt idx="3">
                  <c:v>安徽</c:v>
                </c:pt>
                <c:pt idx="4">
                  <c:v>河北</c:v>
                </c:pt>
                <c:pt idx="5">
                  <c:v>天津</c:v>
                </c:pt>
                <c:pt idx="6">
                  <c:v>杭州</c:v>
                </c:pt>
                <c:pt idx="7">
                  <c:v>重庆</c:v>
                </c:pt>
                <c:pt idx="8">
                  <c:v>河南</c:v>
                </c:pt>
                <c:pt idx="9">
                  <c:v>厦门</c:v>
                </c:pt>
              </c:strCache>
            </c:strRef>
          </c:cat>
          <c:val>
            <c:numRef>
              <c:f>Sheet1!$C$2:$C$11</c:f>
              <c:numCache>
                <c:formatCode>General</c:formatCode>
                <c:ptCount val="10"/>
                <c:pt idx="0">
                  <c:v>23991</c:v>
                </c:pt>
                <c:pt idx="1">
                  <c:v>23271</c:v>
                </c:pt>
                <c:pt idx="2">
                  <c:v>17871</c:v>
                </c:pt>
                <c:pt idx="3">
                  <c:v>8066</c:v>
                </c:pt>
                <c:pt idx="4">
                  <c:v>8035</c:v>
                </c:pt>
                <c:pt idx="5">
                  <c:v>8014</c:v>
                </c:pt>
                <c:pt idx="6">
                  <c:v>6408</c:v>
                </c:pt>
                <c:pt idx="7">
                  <c:v>3340</c:v>
                </c:pt>
                <c:pt idx="8">
                  <c:v>2510</c:v>
                </c:pt>
                <c:pt idx="9">
                  <c:v>2100</c:v>
                </c:pt>
              </c:numCache>
            </c:numRef>
          </c:val>
        </c:ser>
        <c:ser>
          <c:idx val="2"/>
          <c:order val="2"/>
          <c:tx>
            <c:strRef>
              <c:f>Sheet1!$D$1</c:f>
              <c:strCache>
                <c:ptCount val="1"/>
                <c:pt idx="0">
                  <c:v>车桩比</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Sheet1!$A$2:$A$11</c:f>
              <c:strCache>
                <c:ptCount val="10"/>
                <c:pt idx="0">
                  <c:v>北京</c:v>
                </c:pt>
                <c:pt idx="1">
                  <c:v>广东</c:v>
                </c:pt>
                <c:pt idx="2">
                  <c:v>上海</c:v>
                </c:pt>
                <c:pt idx="3">
                  <c:v>安徽</c:v>
                </c:pt>
                <c:pt idx="4">
                  <c:v>河北</c:v>
                </c:pt>
                <c:pt idx="5">
                  <c:v>天津</c:v>
                </c:pt>
                <c:pt idx="6">
                  <c:v>杭州</c:v>
                </c:pt>
                <c:pt idx="7">
                  <c:v>重庆</c:v>
                </c:pt>
                <c:pt idx="8">
                  <c:v>河南</c:v>
                </c:pt>
                <c:pt idx="9">
                  <c:v>厦门</c:v>
                </c:pt>
              </c:strCache>
            </c:strRef>
          </c:cat>
          <c:val>
            <c:numRef>
              <c:f>Sheet1!$D$2:$D$11</c:f>
              <c:numCache>
                <c:formatCode>General</c:formatCode>
                <c:ptCount val="10"/>
                <c:pt idx="0">
                  <c:v>4.2</c:v>
                </c:pt>
                <c:pt idx="1">
                  <c:v>4.3</c:v>
                </c:pt>
                <c:pt idx="2">
                  <c:v>5.7</c:v>
                </c:pt>
                <c:pt idx="3">
                  <c:v>6.2</c:v>
                </c:pt>
                <c:pt idx="4">
                  <c:v>3.3</c:v>
                </c:pt>
                <c:pt idx="5">
                  <c:v>4.8</c:v>
                </c:pt>
                <c:pt idx="6">
                  <c:v>3.1</c:v>
                </c:pt>
                <c:pt idx="7">
                  <c:v>3</c:v>
                </c:pt>
                <c:pt idx="8">
                  <c:v>5.4</c:v>
                </c:pt>
                <c:pt idx="9">
                  <c:v>4.4</c:v>
                </c:pt>
              </c:numCache>
            </c:numRef>
          </c:val>
        </c:ser>
        <c:dLbls>
          <c:showLegendKey val="0"/>
          <c:showVal val="1"/>
          <c:showCatName val="0"/>
          <c:showSerName val="0"/>
          <c:showPercent val="0"/>
          <c:showBubbleSize val="0"/>
        </c:dLbls>
        <c:gapWidth val="444"/>
        <c:overlap val="-90"/>
        <c:axId val="176545272"/>
        <c:axId val="176543312"/>
      </c:barChart>
      <c:catAx>
        <c:axId val="176545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76543312"/>
        <c:crosses val="autoZero"/>
        <c:auto val="1"/>
        <c:lblAlgn val="ctr"/>
        <c:lblOffset val="100"/>
        <c:noMultiLvlLbl val="0"/>
      </c:catAx>
      <c:valAx>
        <c:axId val="17654331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65452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C1257-A891-4145-A9DA-DB0E12192A3A}">
  <ds:schemaRefs/>
</ds:datastoreItem>
</file>

<file path=docProps/app.xml><?xml version="1.0" encoding="utf-8"?>
<Properties xmlns="http://schemas.openxmlformats.org/officeDocument/2006/extended-properties" xmlns:vt="http://schemas.openxmlformats.org/officeDocument/2006/docPropsVTypes">
  <Template>Normal</Template>
  <Pages>2</Pages>
  <Words>1366</Words>
  <Characters>1503</Characters>
  <Lines>53</Lines>
  <Paragraphs>20</Paragraphs>
  <ScaleCrop>false</ScaleCrop>
  <LinksUpToDate>false</LinksUpToDate>
  <CharactersWithSpaces>1513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2017-09-11T08:22:00Z</dcterms:created>
  <dc:creator>admin</dc:creator>
  <cp:lastModifiedBy>Administrator</cp:lastModifiedBy>
  <dcterms:modified xsi:type="dcterms:W3CDTF">2017-09-13T02:49:13Z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