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b/>
          <w:sz w:val="36"/>
          <w:szCs w:val="36"/>
        </w:rPr>
      </w:pPr>
      <w:r>
        <w:rPr>
          <w:rFonts w:hint="eastAsia"/>
          <w:b/>
          <w:sz w:val="36"/>
          <w:szCs w:val="36"/>
          <w:lang w:eastAsia="zh-CN"/>
        </w:rPr>
        <w:t>《</w:t>
      </w:r>
      <w:r>
        <w:rPr>
          <w:rFonts w:hint="eastAsia"/>
          <w:b/>
          <w:sz w:val="36"/>
          <w:szCs w:val="36"/>
          <w:lang w:val="en-US" w:eastAsia="zh-CN"/>
        </w:rPr>
        <w:t>物理因子治疗技术</w:t>
      </w:r>
      <w:r>
        <w:rPr>
          <w:rFonts w:hint="eastAsia"/>
          <w:b/>
          <w:sz w:val="36"/>
          <w:szCs w:val="36"/>
          <w:lang w:eastAsia="zh-CN"/>
        </w:rPr>
        <w:t>》</w:t>
      </w:r>
      <w:r>
        <w:rPr>
          <w:rFonts w:hint="eastAsia"/>
          <w:b/>
          <w:sz w:val="36"/>
          <w:szCs w:val="36"/>
        </w:rPr>
        <w:t>课程思政课堂教学设计与实施</w:t>
      </w:r>
    </w:p>
    <w:p>
      <w:pPr>
        <w:spacing w:line="400" w:lineRule="exact"/>
        <w:jc w:val="center"/>
        <w:rPr>
          <w:rFonts w:hint="eastAsia" w:ascii="仿宋_GB2312" w:eastAsia="仿宋_GB2312"/>
          <w:szCs w:val="21"/>
          <w:lang w:eastAsia="zh-CN"/>
        </w:rPr>
      </w:pPr>
      <w:r>
        <w:rPr>
          <w:rFonts w:hint="eastAsia" w:ascii="仿宋_GB2312" w:eastAsia="仿宋_GB2312"/>
          <w:szCs w:val="21"/>
          <w:lang w:val="en-US" w:eastAsia="zh-CN"/>
        </w:rPr>
        <w:t>沈书泓</w:t>
      </w:r>
    </w:p>
    <w:p>
      <w:pPr>
        <w:spacing w:line="400" w:lineRule="exact"/>
        <w:jc w:val="center"/>
        <w:rPr>
          <w:rFonts w:hint="eastAsia" w:ascii="仿宋_GB2312" w:hAnsi="宋体" w:eastAsia="仿宋_GB2312"/>
          <w:szCs w:val="21"/>
        </w:rPr>
      </w:pPr>
      <w:r>
        <w:rPr>
          <w:rFonts w:hint="eastAsia" w:ascii="仿宋_GB2312" w:hAnsi="宋体" w:eastAsia="仿宋_GB2312"/>
          <w:szCs w:val="21"/>
        </w:rPr>
        <w:t>（福建卫生职业技术学院</w:t>
      </w:r>
      <w:r>
        <w:rPr>
          <w:rFonts w:hint="eastAsia" w:ascii="仿宋_GB2312" w:hAnsi="宋体" w:eastAsia="仿宋_GB2312"/>
          <w:szCs w:val="21"/>
          <w:lang w:val="en-US" w:eastAsia="zh-CN"/>
        </w:rPr>
        <w:t>医学院</w:t>
      </w:r>
      <w:r>
        <w:rPr>
          <w:rFonts w:hint="eastAsia" w:ascii="仿宋_GB2312" w:hAnsi="宋体" w:eastAsia="仿宋_GB2312"/>
          <w:szCs w:val="21"/>
        </w:rPr>
        <w:t xml:space="preserve"> 福建 福州 350101）</w:t>
      </w:r>
    </w:p>
    <w:p>
      <w:pPr>
        <w:spacing w:line="400" w:lineRule="exact"/>
        <w:rPr>
          <w:rFonts w:hint="default" w:eastAsia="楷体_GB2312"/>
          <w:highlight w:val="none"/>
          <w:lang w:val="en-US" w:eastAsia="zh-CN"/>
        </w:rPr>
      </w:pPr>
      <w:r>
        <w:rPr>
          <w:rFonts w:hint="eastAsia"/>
          <w:b/>
        </w:rPr>
        <w:t xml:space="preserve">【摘要】 </w:t>
      </w:r>
      <w:r>
        <w:rPr>
          <w:rFonts w:hint="eastAsia" w:ascii="楷体_GB2312" w:eastAsia="楷体_GB2312"/>
          <w:szCs w:val="21"/>
          <w:highlight w:val="none"/>
        </w:rPr>
        <w:t>及至现下，高等学校课程思政建设经多年探索已确立研究路径：即从专业、课程、教师三角度切入，注重课前设计、课中实施、课后评价三个呈现节点</w:t>
      </w:r>
      <w:r>
        <w:rPr>
          <w:rFonts w:hint="eastAsia" w:ascii="楷体_GB2312" w:eastAsia="楷体_GB2312"/>
          <w:szCs w:val="21"/>
          <w:highlight w:val="none"/>
          <w:lang w:eastAsia="zh-CN"/>
        </w:rPr>
        <w:t>。</w:t>
      </w:r>
      <w:r>
        <w:rPr>
          <w:rFonts w:hint="eastAsia" w:ascii="楷体_GB2312" w:eastAsia="楷体_GB2312"/>
          <w:szCs w:val="21"/>
          <w:highlight w:val="none"/>
          <w:lang w:val="en-US" w:eastAsia="zh-CN"/>
        </w:rPr>
        <w:t>本文基于康复治疗技术专业核心课程《物理因子治疗技术》，探讨课程思政建设在康复治疗技术专业教育的建设路径，分析其建设重要性，并结合对应知识点设计思政融入切入点，选取“自然疗法”详细展示课程思政教学实施过程，形成对应评价方法，以期达到价值引领、提升人才培养质量的目的。</w:t>
      </w:r>
    </w:p>
    <w:p>
      <w:pPr>
        <w:spacing w:line="400" w:lineRule="exact"/>
        <w:rPr>
          <w:rFonts w:hint="default" w:eastAsia="宋体"/>
          <w:b/>
          <w:highlight w:val="none"/>
          <w:lang w:val="en-US" w:eastAsia="zh-CN"/>
        </w:rPr>
      </w:pPr>
      <w:r>
        <w:rPr>
          <w:rFonts w:hint="eastAsia"/>
          <w:b/>
          <w:highlight w:val="none"/>
        </w:rPr>
        <w:t xml:space="preserve">【关键词】 </w:t>
      </w:r>
      <w:r>
        <w:rPr>
          <w:rFonts w:hint="eastAsia" w:ascii="楷体_GB2312" w:eastAsia="楷体_GB2312"/>
          <w:szCs w:val="21"/>
          <w:highlight w:val="none"/>
          <w:lang w:val="en-US" w:eastAsia="zh-CN"/>
        </w:rPr>
        <w:t>物理因子治疗技术；课程思政；教学设计与实施</w:t>
      </w:r>
    </w:p>
    <w:p>
      <w:pPr>
        <w:numPr>
          <w:ilvl w:val="0"/>
          <w:numId w:val="1"/>
        </w:numPr>
        <w:spacing w:line="400" w:lineRule="exact"/>
        <w:ind w:firstLine="480" w:firstLineChars="200"/>
        <w:rPr>
          <w:rFonts w:hint="eastAsia" w:ascii="黑体" w:eastAsia="黑体"/>
          <w:sz w:val="24"/>
        </w:rPr>
      </w:pPr>
      <w:r>
        <w:rPr>
          <w:rFonts w:hint="eastAsia" w:ascii="黑体" w:eastAsia="黑体"/>
          <w:sz w:val="24"/>
        </w:rPr>
        <w:t>课程思政融入《物理因子治疗技术》课程的必要性</w:t>
      </w:r>
    </w:p>
    <w:p>
      <w:pPr>
        <w:numPr>
          <w:ilvl w:val="0"/>
          <w:numId w:val="2"/>
        </w:numPr>
        <w:spacing w:line="400" w:lineRule="exact"/>
        <w:ind w:left="-2" w:leftChars="0" w:firstLine="422" w:firstLineChars="0"/>
        <w:rPr>
          <w:rFonts w:hint="eastAsia"/>
          <w:b/>
          <w:lang w:val="en-US" w:eastAsia="zh-CN"/>
        </w:rPr>
      </w:pPr>
      <w:r>
        <w:rPr>
          <w:rFonts w:hint="eastAsia"/>
          <w:b/>
          <w:lang w:val="en-US" w:eastAsia="zh-CN"/>
        </w:rPr>
        <w:t>康复治疗技术专业课程思政意义</w:t>
      </w:r>
    </w:p>
    <w:p>
      <w:pPr>
        <w:spacing w:line="400" w:lineRule="exact"/>
        <w:ind w:firstLine="420" w:firstLineChars="200"/>
        <w:rPr>
          <w:rFonts w:hint="eastAsia"/>
          <w:lang w:val="en-US" w:eastAsia="zh-CN"/>
        </w:rPr>
      </w:pPr>
      <w:r>
        <w:rPr>
          <w:rFonts w:hint="eastAsia"/>
          <w:lang w:val="en-US" w:eastAsia="zh-CN"/>
        </w:rPr>
        <w:t>自2020年始，课程思政建设风潮逐步从中小学校园吹入高等教育学府、就此掀开高校间如火如荼的课程思政改革篇章作为高校组织一员，高等职业教育突出职业导向、与职业生涯直接衔接，迫切要求其教育对象在本阶段学习中系统树立对专业的认知、对职业的规范，同时强调受教育者在投入社会时具备正确的价值观和足够的社会责任感因此，高等职业学校课程思政建设的意义不言而喻。</w:t>
      </w:r>
    </w:p>
    <w:p>
      <w:pPr>
        <w:spacing w:line="400" w:lineRule="exact"/>
        <w:ind w:firstLine="420" w:firstLineChars="200"/>
        <w:rPr>
          <w:rFonts w:hint="default"/>
          <w:lang w:val="en-US" w:eastAsia="zh-CN"/>
        </w:rPr>
      </w:pPr>
      <w:r>
        <w:rPr>
          <w:rFonts w:hint="eastAsia"/>
          <w:lang w:val="en-US" w:eastAsia="zh-CN"/>
        </w:rPr>
        <w:t>康复治疗技术专业的学科意义旨在重锻机体功能、提高生活质量；其治疗覆盖生命孕育、儿童成长、成人病损、老年保健等生命全周期，要求专业学生具备健康生命观、全面康复观和科学残疾观恰逢2016年国家首次提出健康领域中长期战略规划《“健康中国2030”规划纲要》，从源头普及、服务优化、保障完善、环境建设、产业发展等五个方面制定行动纲领以推进中国15年健康事业建设；党中央、国务院对人民健康的高度重视，亦从政治水平拔升了康复治疗技术专业教育课程思政建设的高度。</w:t>
      </w:r>
    </w:p>
    <w:p>
      <w:pPr>
        <w:numPr>
          <w:ilvl w:val="0"/>
          <w:numId w:val="2"/>
        </w:numPr>
        <w:spacing w:line="400" w:lineRule="exact"/>
        <w:ind w:left="-2" w:leftChars="0" w:firstLine="422" w:firstLineChars="0"/>
        <w:rPr>
          <w:rFonts w:hint="default"/>
          <w:b/>
          <w:lang w:val="en-US" w:eastAsia="zh-CN"/>
        </w:rPr>
      </w:pPr>
      <w:r>
        <w:rPr>
          <w:rFonts w:hint="eastAsia"/>
          <w:b/>
          <w:lang w:val="en-US" w:eastAsia="zh-CN"/>
        </w:rPr>
        <w:t>《物理因子治疗技术》课程思政意义</w:t>
      </w:r>
    </w:p>
    <w:p>
      <w:pPr>
        <w:spacing w:line="400" w:lineRule="exact"/>
        <w:ind w:firstLine="420" w:firstLineChars="200"/>
        <w:rPr>
          <w:rFonts w:hint="eastAsia"/>
          <w:lang w:val="en-US" w:eastAsia="zh-CN"/>
        </w:rPr>
      </w:pPr>
      <w:r>
        <w:rPr>
          <w:rFonts w:hint="eastAsia"/>
          <w:lang w:val="en-US" w:eastAsia="zh-CN"/>
        </w:rPr>
        <w:t>《物理因子治疗技术》是康复治疗技术专业的专业课程，所授内容隶属物理治疗技术、为康复治疗技术专业三大治疗技术之一，要求学生树立高度的专业认同感、发挥学习主观能动性、夯实物理因子治疗专业思维与能力；课程目标侧重常用物理因子治疗的实际操作能力、强调在规范操作的基础上达到有效处置紧急情况的能力，要求学生具备严谨的工作态度和安全操作意识；物理治疗师（PT治疗师）岗位任务为配合康复医学团队，根据功能评定结果、与患者合作开展物理因子治疗，要求学生健全职业操守、培养团队合作能力、提升沟通技巧、树立爱伤意识；物理因子治疗技术的持续更新，亦要求学生在完成日常岗位任务的同时，注重科学思辨、技术创新。</w:t>
      </w:r>
    </w:p>
    <w:p>
      <w:pPr>
        <w:numPr>
          <w:ilvl w:val="0"/>
          <w:numId w:val="1"/>
        </w:numPr>
        <w:spacing w:line="400" w:lineRule="exact"/>
        <w:ind w:firstLine="480" w:firstLineChars="200"/>
        <w:rPr>
          <w:rFonts w:hint="eastAsia" w:ascii="黑体" w:eastAsia="黑体"/>
          <w:sz w:val="24"/>
        </w:rPr>
      </w:pPr>
      <w:r>
        <w:rPr>
          <w:rFonts w:hint="eastAsia" w:ascii="黑体" w:eastAsia="黑体"/>
          <w:sz w:val="24"/>
        </w:rPr>
        <w:t>《物理因子治疗技术》课程思政教学与对应知识点设计</w:t>
      </w:r>
    </w:p>
    <w:p>
      <w:pPr>
        <w:spacing w:line="400" w:lineRule="exact"/>
        <w:ind w:firstLine="420" w:firstLineChars="200"/>
        <w:rPr>
          <w:rFonts w:hint="eastAsia"/>
        </w:rPr>
      </w:pPr>
      <w:r>
        <w:rPr>
          <w:rFonts w:hint="default"/>
          <w:lang w:val="en-US" w:eastAsia="zh-CN"/>
        </w:rPr>
        <w:t>《物理因子治疗技术》课程内容包括物理因子治疗技术</w:t>
      </w:r>
      <w:r>
        <w:rPr>
          <w:rFonts w:hint="eastAsia"/>
          <w:lang w:val="en-US" w:eastAsia="zh-CN"/>
        </w:rPr>
        <w:t>的基本概念与电疗法、光疗法、超声波疗法</w:t>
      </w:r>
      <w:r>
        <w:rPr>
          <w:rFonts w:hint="default"/>
          <w:lang w:val="en-US" w:eastAsia="zh-CN"/>
        </w:rPr>
        <w:t>等</w:t>
      </w:r>
      <w:r>
        <w:rPr>
          <w:rFonts w:hint="eastAsia"/>
          <w:lang w:val="en-US" w:eastAsia="zh-CN"/>
        </w:rPr>
        <w:t>具体操作技术各论针对课程内容，剖析其</w:t>
      </w:r>
      <w:r>
        <w:rPr>
          <w:rFonts w:hint="default"/>
          <w:lang w:val="en-US" w:eastAsia="zh-CN"/>
        </w:rPr>
        <w:t>思政</w:t>
      </w:r>
      <w:r>
        <w:rPr>
          <w:rFonts w:hint="eastAsia"/>
          <w:lang w:val="en-US" w:eastAsia="zh-CN"/>
        </w:rPr>
        <w:t>切入</w:t>
      </w:r>
      <w:r>
        <w:rPr>
          <w:rFonts w:hint="default"/>
          <w:lang w:val="en-US" w:eastAsia="zh-CN"/>
        </w:rPr>
        <w:t>点，梳理对应知识点设计课程思政教学</w:t>
      </w:r>
      <w:r>
        <w:rPr>
          <w:rFonts w:hint="eastAsia"/>
          <w:lang w:val="en-US" w:eastAsia="zh-CN"/>
        </w:rPr>
        <w:t>如</w:t>
      </w:r>
      <w:r>
        <w:rPr>
          <w:rFonts w:hint="default"/>
          <w:lang w:val="en-US" w:eastAsia="zh-CN"/>
        </w:rPr>
        <w:t>表</w:t>
      </w:r>
      <w:r>
        <w:rPr>
          <w:rFonts w:hint="eastAsia"/>
          <w:lang w:val="en-US" w:eastAsia="zh-CN"/>
        </w:rPr>
        <w:t>1。</w:t>
      </w:r>
    </w:p>
    <w:p>
      <w:pPr>
        <w:spacing w:line="400" w:lineRule="exact"/>
        <w:jc w:val="center"/>
        <w:rPr>
          <w:rFonts w:hint="eastAsia" w:eastAsia="宋体"/>
          <w:b/>
          <w:sz w:val="18"/>
          <w:szCs w:val="18"/>
          <w:lang w:eastAsia="zh-CN"/>
        </w:rPr>
      </w:pPr>
      <w:r>
        <w:rPr>
          <w:rFonts w:hint="eastAsia"/>
          <w:b/>
          <w:sz w:val="18"/>
          <w:szCs w:val="18"/>
        </w:rPr>
        <w:t>表</w:t>
      </w:r>
      <w:r>
        <w:rPr>
          <w:rFonts w:hint="eastAsia"/>
          <w:b/>
          <w:sz w:val="18"/>
          <w:szCs w:val="18"/>
          <w:lang w:val="en-US" w:eastAsia="zh-CN"/>
        </w:rPr>
        <w:t>1  《物理因子治疗技术》课程思政结合知识点设计表</w:t>
      </w:r>
    </w:p>
    <w:tbl>
      <w:tblPr>
        <w:tblStyle w:val="3"/>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1352"/>
        <w:gridCol w:w="2700"/>
        <w:gridCol w:w="3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shd w:val="clear" w:color="auto" w:fill="auto"/>
            <w:noWrap w:val="0"/>
            <w:vAlign w:val="center"/>
          </w:tcPr>
          <w:p>
            <w:pPr>
              <w:spacing w:line="240" w:lineRule="auto"/>
              <w:jc w:val="center"/>
              <w:rPr>
                <w:rFonts w:hint="eastAsia" w:eastAsia="宋体"/>
                <w:b/>
                <w:sz w:val="18"/>
                <w:szCs w:val="18"/>
                <w:lang w:eastAsia="zh-CN"/>
              </w:rPr>
            </w:pPr>
            <w:r>
              <w:rPr>
                <w:rFonts w:hint="eastAsia"/>
                <w:b/>
                <w:sz w:val="18"/>
                <w:szCs w:val="18"/>
                <w:lang w:val="en-US" w:eastAsia="zh-CN"/>
              </w:rPr>
              <w:t>序号</w:t>
            </w:r>
          </w:p>
        </w:tc>
        <w:tc>
          <w:tcPr>
            <w:tcW w:w="1352" w:type="dxa"/>
            <w:shd w:val="clear" w:color="auto" w:fill="auto"/>
            <w:noWrap w:val="0"/>
            <w:vAlign w:val="center"/>
          </w:tcPr>
          <w:p>
            <w:pPr>
              <w:spacing w:line="240" w:lineRule="auto"/>
              <w:jc w:val="center"/>
              <w:rPr>
                <w:rFonts w:hint="eastAsia" w:eastAsia="宋体"/>
                <w:b/>
                <w:sz w:val="18"/>
                <w:szCs w:val="18"/>
                <w:lang w:eastAsia="zh-CN"/>
              </w:rPr>
            </w:pPr>
            <w:r>
              <w:rPr>
                <w:rFonts w:hint="eastAsia"/>
                <w:b/>
                <w:sz w:val="18"/>
                <w:szCs w:val="18"/>
                <w:lang w:val="en-US" w:eastAsia="zh-CN"/>
              </w:rPr>
              <w:t>课程内容</w:t>
            </w:r>
          </w:p>
        </w:tc>
        <w:tc>
          <w:tcPr>
            <w:tcW w:w="2700" w:type="dxa"/>
            <w:shd w:val="clear" w:color="auto" w:fill="auto"/>
            <w:noWrap w:val="0"/>
            <w:vAlign w:val="center"/>
          </w:tcPr>
          <w:p>
            <w:pPr>
              <w:spacing w:line="240" w:lineRule="auto"/>
              <w:jc w:val="center"/>
              <w:rPr>
                <w:rFonts w:hint="eastAsia"/>
                <w:b/>
                <w:sz w:val="18"/>
                <w:szCs w:val="18"/>
              </w:rPr>
            </w:pPr>
            <w:r>
              <w:rPr>
                <w:rFonts w:hint="eastAsia"/>
                <w:b/>
                <w:sz w:val="18"/>
                <w:szCs w:val="18"/>
              </w:rPr>
              <w:t>思政教学目标</w:t>
            </w:r>
          </w:p>
        </w:tc>
        <w:tc>
          <w:tcPr>
            <w:tcW w:w="3508" w:type="dxa"/>
            <w:shd w:val="clear" w:color="auto" w:fill="auto"/>
            <w:noWrap w:val="0"/>
            <w:vAlign w:val="center"/>
          </w:tcPr>
          <w:p>
            <w:pPr>
              <w:spacing w:line="240" w:lineRule="auto"/>
              <w:jc w:val="center"/>
              <w:rPr>
                <w:rFonts w:hint="eastAsia"/>
                <w:sz w:val="18"/>
                <w:szCs w:val="18"/>
              </w:rPr>
            </w:pPr>
            <w:r>
              <w:rPr>
                <w:rFonts w:hint="eastAsia"/>
                <w:b/>
                <w:sz w:val="18"/>
                <w:szCs w:val="18"/>
              </w:rPr>
              <w:t>课程思政教学知识点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shd w:val="clear" w:color="auto" w:fill="auto"/>
            <w:noWrap w:val="0"/>
            <w:vAlign w:val="center"/>
          </w:tcPr>
          <w:p>
            <w:pPr>
              <w:spacing w:line="240" w:lineRule="auto"/>
              <w:jc w:val="center"/>
              <w:rPr>
                <w:rFonts w:hint="eastAsia" w:eastAsia="宋体"/>
                <w:sz w:val="18"/>
                <w:szCs w:val="18"/>
                <w:lang w:eastAsia="zh-CN"/>
              </w:rPr>
            </w:pPr>
            <w:r>
              <w:rPr>
                <w:rFonts w:hint="eastAsia"/>
                <w:sz w:val="18"/>
                <w:szCs w:val="18"/>
                <w:lang w:val="en-US" w:eastAsia="zh-CN"/>
              </w:rPr>
              <w:t>1</w:t>
            </w:r>
          </w:p>
        </w:tc>
        <w:tc>
          <w:tcPr>
            <w:tcW w:w="1352" w:type="dxa"/>
            <w:shd w:val="clear" w:color="auto" w:fill="auto"/>
            <w:noWrap w:val="0"/>
            <w:vAlign w:val="center"/>
          </w:tcPr>
          <w:p>
            <w:pPr>
              <w:spacing w:line="240" w:lineRule="auto"/>
              <w:jc w:val="center"/>
              <w:rPr>
                <w:rFonts w:hint="eastAsia" w:ascii="Times New Roman" w:hAnsi="Times New Roman" w:cs="Times New Roman"/>
                <w:sz w:val="18"/>
                <w:szCs w:val="18"/>
              </w:rPr>
            </w:pPr>
            <w:r>
              <w:rPr>
                <w:rFonts w:hint="eastAsia" w:ascii="Times New Roman" w:hAnsi="Times New Roman" w:cs="Times New Roman"/>
                <w:sz w:val="18"/>
                <w:szCs w:val="18"/>
                <w:lang w:val="en-US" w:eastAsia="zh-CN"/>
              </w:rPr>
              <w:t>绪论</w:t>
            </w:r>
          </w:p>
        </w:tc>
        <w:tc>
          <w:tcPr>
            <w:tcW w:w="2700" w:type="dxa"/>
            <w:shd w:val="clear" w:color="auto" w:fill="auto"/>
            <w:noWrap w:val="0"/>
            <w:vAlign w:val="center"/>
          </w:tcPr>
          <w:p>
            <w:pPr>
              <w:numPr>
                <w:ilvl w:val="0"/>
                <w:numId w:val="3"/>
              </w:numPr>
              <w:spacing w:line="240" w:lineRule="auto"/>
              <w:jc w:val="left"/>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树立</w:t>
            </w:r>
            <w:r>
              <w:rPr>
                <w:rFonts w:hint="eastAsia" w:ascii="Times New Roman" w:hAnsi="Times New Roman" w:cs="Times New Roman"/>
                <w:sz w:val="18"/>
                <w:szCs w:val="18"/>
                <w:lang w:eastAsia="zh-CN"/>
              </w:rPr>
              <w:t>康复专业思想，</w:t>
            </w:r>
            <w:r>
              <w:rPr>
                <w:rFonts w:hint="eastAsia" w:ascii="Times New Roman" w:hAnsi="Times New Roman" w:cs="Times New Roman"/>
                <w:sz w:val="18"/>
                <w:szCs w:val="18"/>
                <w:lang w:val="en-US" w:eastAsia="zh-CN"/>
              </w:rPr>
              <w:t>激发学习主观能动性</w:t>
            </w:r>
          </w:p>
          <w:p>
            <w:pPr>
              <w:numPr>
                <w:ilvl w:val="0"/>
                <w:numId w:val="3"/>
              </w:numPr>
              <w:spacing w:line="240" w:lineRule="auto"/>
              <w:jc w:val="left"/>
              <w:rPr>
                <w:rFonts w:hint="eastAsia" w:ascii="Times New Roman" w:hAnsi="Times New Roman" w:cs="Times New Roman"/>
                <w:sz w:val="18"/>
                <w:szCs w:val="18"/>
              </w:rPr>
            </w:pPr>
            <w:r>
              <w:rPr>
                <w:rFonts w:hint="eastAsia" w:ascii="Times New Roman" w:hAnsi="Times New Roman" w:cs="Times New Roman"/>
                <w:sz w:val="18"/>
                <w:szCs w:val="18"/>
                <w:lang w:eastAsia="zh-CN"/>
              </w:rPr>
              <w:t>培养</w:t>
            </w:r>
            <w:r>
              <w:rPr>
                <w:rFonts w:hint="eastAsia" w:ascii="Times New Roman" w:hAnsi="Times New Roman" w:cs="Times New Roman"/>
                <w:sz w:val="18"/>
                <w:szCs w:val="18"/>
                <w:lang w:val="en-US" w:eastAsia="zh-CN"/>
              </w:rPr>
              <w:t>履职意识，感知学科制度</w:t>
            </w:r>
            <w:r>
              <w:rPr>
                <w:rFonts w:hint="eastAsia" w:ascii="Times New Roman" w:hAnsi="Times New Roman" w:cs="Times New Roman"/>
                <w:sz w:val="18"/>
                <w:szCs w:val="18"/>
                <w:lang w:eastAsia="zh-CN"/>
              </w:rPr>
              <w:t>优势</w:t>
            </w:r>
          </w:p>
        </w:tc>
        <w:tc>
          <w:tcPr>
            <w:tcW w:w="3508" w:type="dxa"/>
            <w:shd w:val="clear" w:color="auto" w:fill="auto"/>
            <w:noWrap w:val="0"/>
            <w:vAlign w:val="center"/>
          </w:tcPr>
          <w:p>
            <w:pPr>
              <w:spacing w:line="240" w:lineRule="auto"/>
              <w:jc w:val="left"/>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1、讲授物理因子治疗技术的基本概念、分类，明确课程学习任务</w:t>
            </w:r>
          </w:p>
          <w:p>
            <w:pPr>
              <w:spacing w:line="240" w:lineRule="auto"/>
              <w:jc w:val="left"/>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2、介绍中共中央和国务院发布的《健康中国2030规划纲要》，了解国家相关政策与康复理疗发展前景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1368" w:type="dxa"/>
            <w:shd w:val="clear" w:color="auto" w:fill="auto"/>
            <w:noWrap w:val="0"/>
            <w:vAlign w:val="center"/>
          </w:tcPr>
          <w:p>
            <w:pPr>
              <w:spacing w:line="240" w:lineRule="auto"/>
              <w:jc w:val="center"/>
              <w:rPr>
                <w:rFonts w:hint="default" w:eastAsia="宋体"/>
                <w:sz w:val="18"/>
                <w:szCs w:val="18"/>
                <w:lang w:val="en-US" w:eastAsia="zh-CN"/>
              </w:rPr>
            </w:pPr>
            <w:r>
              <w:rPr>
                <w:rFonts w:hint="eastAsia"/>
                <w:sz w:val="18"/>
                <w:szCs w:val="18"/>
                <w:lang w:val="en-US" w:eastAsia="zh-CN"/>
              </w:rPr>
              <w:t>2</w:t>
            </w:r>
          </w:p>
        </w:tc>
        <w:tc>
          <w:tcPr>
            <w:tcW w:w="1352" w:type="dxa"/>
            <w:shd w:val="clear" w:color="auto" w:fill="auto"/>
            <w:noWrap w:val="0"/>
            <w:vAlign w:val="center"/>
          </w:tcPr>
          <w:p>
            <w:pPr>
              <w:spacing w:line="240" w:lineRule="auto"/>
              <w:jc w:val="center"/>
              <w:rPr>
                <w:rFonts w:hint="eastAsia" w:ascii="Times New Roman" w:hAnsi="Times New Roman" w:cs="Times New Roman"/>
                <w:sz w:val="18"/>
                <w:szCs w:val="18"/>
              </w:rPr>
            </w:pPr>
            <w:r>
              <w:rPr>
                <w:rFonts w:hint="eastAsia" w:ascii="Times New Roman" w:hAnsi="Times New Roman" w:cs="Times New Roman"/>
                <w:sz w:val="18"/>
                <w:szCs w:val="18"/>
                <w:lang w:val="en-US" w:eastAsia="zh-CN"/>
              </w:rPr>
              <w:t>电疗法</w:t>
            </w:r>
          </w:p>
        </w:tc>
        <w:tc>
          <w:tcPr>
            <w:tcW w:w="2700" w:type="dxa"/>
            <w:shd w:val="clear" w:color="auto" w:fill="auto"/>
            <w:noWrap w:val="0"/>
            <w:vAlign w:val="center"/>
          </w:tcPr>
          <w:p>
            <w:pPr>
              <w:numPr>
                <w:ilvl w:val="0"/>
                <w:numId w:val="4"/>
              </w:numPr>
              <w:spacing w:line="240" w:lineRule="auto"/>
              <w:jc w:val="left"/>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培养规范操作、安全意识</w:t>
            </w:r>
          </w:p>
          <w:p>
            <w:pPr>
              <w:numPr>
                <w:ilvl w:val="0"/>
                <w:numId w:val="4"/>
              </w:numPr>
              <w:spacing w:line="240" w:lineRule="auto"/>
              <w:jc w:val="left"/>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践行社会主义核心价值观，尊重、关爱治疗对象</w:t>
            </w:r>
          </w:p>
        </w:tc>
        <w:tc>
          <w:tcPr>
            <w:tcW w:w="3508" w:type="dxa"/>
            <w:shd w:val="clear" w:color="auto" w:fill="auto"/>
            <w:noWrap w:val="0"/>
            <w:vAlign w:val="center"/>
          </w:tcPr>
          <w:p>
            <w:pPr>
              <w:spacing w:line="240" w:lineRule="auto"/>
              <w:jc w:val="left"/>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w:t>
            </w:r>
            <w:r>
              <w:rPr>
                <w:rFonts w:hint="eastAsia" w:cs="Times New Roman"/>
                <w:sz w:val="18"/>
                <w:szCs w:val="18"/>
                <w:lang w:val="en-US" w:eastAsia="zh-CN"/>
              </w:rPr>
              <w:t>分析</w:t>
            </w:r>
            <w:r>
              <w:rPr>
                <w:rFonts w:hint="eastAsia" w:ascii="Times New Roman" w:hAnsi="Times New Roman" w:cs="Times New Roman"/>
                <w:sz w:val="18"/>
                <w:szCs w:val="18"/>
                <w:lang w:val="en-US" w:eastAsia="zh-CN"/>
              </w:rPr>
              <w:t>临床疼痛</w:t>
            </w:r>
            <w:r>
              <w:rPr>
                <w:rFonts w:hint="eastAsia" w:cs="Times New Roman"/>
                <w:sz w:val="18"/>
                <w:szCs w:val="18"/>
                <w:lang w:val="en-US" w:eastAsia="zh-CN"/>
              </w:rPr>
              <w:t>数据</w:t>
            </w:r>
            <w:r>
              <w:rPr>
                <w:rFonts w:hint="eastAsia" w:ascii="Times New Roman" w:hAnsi="Times New Roman" w:cs="Times New Roman"/>
                <w:sz w:val="18"/>
                <w:szCs w:val="18"/>
                <w:lang w:val="en-US" w:eastAsia="zh-CN"/>
              </w:rPr>
              <w:t>，</w:t>
            </w:r>
            <w:r>
              <w:rPr>
                <w:rFonts w:hint="eastAsia" w:cs="Times New Roman"/>
                <w:sz w:val="18"/>
                <w:szCs w:val="18"/>
                <w:lang w:val="en-US" w:eastAsia="zh-CN"/>
              </w:rPr>
              <w:t>解说</w:t>
            </w:r>
            <w:r>
              <w:rPr>
                <w:rFonts w:hint="eastAsia" w:ascii="Times New Roman" w:hAnsi="Times New Roman" w:cs="Times New Roman"/>
                <w:sz w:val="18"/>
                <w:szCs w:val="18"/>
                <w:lang w:val="en-US" w:eastAsia="zh-CN"/>
              </w:rPr>
              <w:t>电疗在临床镇痛的</w:t>
            </w:r>
            <w:r>
              <w:rPr>
                <w:rFonts w:hint="eastAsia" w:cs="Times New Roman"/>
                <w:sz w:val="18"/>
                <w:szCs w:val="18"/>
                <w:lang w:val="en-US" w:eastAsia="zh-CN"/>
              </w:rPr>
              <w:t>独特</w:t>
            </w:r>
            <w:r>
              <w:rPr>
                <w:rFonts w:hint="eastAsia" w:ascii="Times New Roman" w:hAnsi="Times New Roman" w:cs="Times New Roman"/>
                <w:sz w:val="18"/>
                <w:szCs w:val="18"/>
                <w:lang w:val="en-US" w:eastAsia="zh-CN"/>
              </w:rPr>
              <w:t>优势</w:t>
            </w:r>
            <w:r>
              <w:rPr>
                <w:rFonts w:hint="eastAsia" w:cs="Times New Roman"/>
                <w:sz w:val="18"/>
                <w:szCs w:val="18"/>
                <w:lang w:val="en-US" w:eastAsia="zh-CN"/>
              </w:rPr>
              <w:t>与广泛应用</w:t>
            </w:r>
          </w:p>
          <w:p>
            <w:pPr>
              <w:spacing w:line="240" w:lineRule="auto"/>
              <w:jc w:val="left"/>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w:t>
            </w:r>
            <w:r>
              <w:rPr>
                <w:rFonts w:hint="eastAsia" w:cs="Times New Roman"/>
                <w:sz w:val="18"/>
                <w:szCs w:val="18"/>
                <w:lang w:val="en-US" w:eastAsia="zh-CN"/>
              </w:rPr>
              <w:t>明确</w:t>
            </w:r>
            <w:r>
              <w:rPr>
                <w:rFonts w:hint="eastAsia" w:ascii="Times New Roman" w:hAnsi="Times New Roman" w:cs="Times New Roman"/>
                <w:sz w:val="18"/>
                <w:szCs w:val="18"/>
                <w:lang w:val="en-US" w:eastAsia="zh-CN"/>
              </w:rPr>
              <w:t>电疗法</w:t>
            </w:r>
            <w:r>
              <w:rPr>
                <w:rFonts w:hint="eastAsia" w:cs="Times New Roman"/>
                <w:sz w:val="18"/>
                <w:szCs w:val="18"/>
                <w:lang w:val="en-US" w:eastAsia="zh-CN"/>
              </w:rPr>
              <w:t>操作的禁忌症，强调人体特定植入装置核对的重要性</w:t>
            </w:r>
            <w:r>
              <w:rPr>
                <w:rFonts w:hint="eastAsia" w:ascii="Times New Roman" w:hAnsi="Times New Roman" w:cs="Times New Roman"/>
                <w:sz w:val="18"/>
                <w:szCs w:val="18"/>
                <w:lang w:val="en-US" w:eastAsia="zh-CN"/>
              </w:rPr>
              <w:t>，确保</w:t>
            </w:r>
            <w:r>
              <w:rPr>
                <w:rFonts w:hint="eastAsia" w:cs="Times New Roman"/>
                <w:sz w:val="18"/>
                <w:szCs w:val="18"/>
                <w:lang w:val="en-US" w:eastAsia="zh-CN"/>
              </w:rPr>
              <w:t>治疗操作规范性与</w:t>
            </w:r>
            <w:r>
              <w:rPr>
                <w:rFonts w:hint="eastAsia" w:ascii="Times New Roman" w:hAnsi="Times New Roman" w:cs="Times New Roman"/>
                <w:sz w:val="18"/>
                <w:szCs w:val="18"/>
                <w:lang w:val="en-US" w:eastAsia="zh-CN"/>
              </w:rPr>
              <w:t>安全</w:t>
            </w:r>
            <w:r>
              <w:rPr>
                <w:rFonts w:hint="eastAsia" w:cs="Times New Roman"/>
                <w:sz w:val="18"/>
                <w:szCs w:val="18"/>
                <w:lang w:val="en-US" w:eastAsia="zh-CN"/>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368" w:type="dxa"/>
            <w:shd w:val="clear" w:color="auto" w:fill="auto"/>
            <w:noWrap w:val="0"/>
            <w:vAlign w:val="center"/>
          </w:tcPr>
          <w:p>
            <w:pPr>
              <w:spacing w:line="240" w:lineRule="auto"/>
              <w:jc w:val="center"/>
              <w:rPr>
                <w:rFonts w:hint="eastAsia" w:eastAsia="宋体"/>
                <w:sz w:val="18"/>
                <w:szCs w:val="18"/>
                <w:lang w:eastAsia="zh-CN"/>
              </w:rPr>
            </w:pPr>
            <w:r>
              <w:rPr>
                <w:rFonts w:hint="eastAsia"/>
                <w:sz w:val="18"/>
                <w:szCs w:val="18"/>
                <w:lang w:val="en-US" w:eastAsia="zh-CN"/>
              </w:rPr>
              <w:t>3</w:t>
            </w:r>
          </w:p>
        </w:tc>
        <w:tc>
          <w:tcPr>
            <w:tcW w:w="1352" w:type="dxa"/>
            <w:shd w:val="clear" w:color="auto" w:fill="auto"/>
            <w:noWrap w:val="0"/>
            <w:vAlign w:val="center"/>
          </w:tcPr>
          <w:p>
            <w:pPr>
              <w:spacing w:line="240" w:lineRule="auto"/>
              <w:jc w:val="center"/>
              <w:rPr>
                <w:rFonts w:hint="eastAsia" w:ascii="Times New Roman" w:hAnsi="Times New Roman" w:cs="Times New Roman"/>
                <w:sz w:val="18"/>
                <w:szCs w:val="18"/>
              </w:rPr>
            </w:pPr>
            <w:r>
              <w:rPr>
                <w:rFonts w:hint="eastAsia" w:ascii="Times New Roman" w:hAnsi="Times New Roman" w:cs="Times New Roman"/>
                <w:sz w:val="18"/>
                <w:szCs w:val="18"/>
                <w:lang w:val="en-US" w:eastAsia="zh-CN"/>
              </w:rPr>
              <w:t>光疗法</w:t>
            </w:r>
          </w:p>
        </w:tc>
        <w:tc>
          <w:tcPr>
            <w:tcW w:w="2700" w:type="dxa"/>
            <w:shd w:val="clear" w:color="auto" w:fill="auto"/>
            <w:noWrap w:val="0"/>
            <w:vAlign w:val="center"/>
          </w:tcPr>
          <w:p>
            <w:pPr>
              <w:numPr>
                <w:ilvl w:val="0"/>
                <w:numId w:val="5"/>
              </w:numPr>
              <w:spacing w:line="240" w:lineRule="auto"/>
              <w:jc w:val="left"/>
              <w:rPr>
                <w:rFonts w:hint="eastAsia" w:cs="Times New Roman"/>
                <w:sz w:val="18"/>
                <w:szCs w:val="18"/>
                <w:lang w:val="en-US" w:eastAsia="zh-CN"/>
              </w:rPr>
            </w:pPr>
            <w:r>
              <w:rPr>
                <w:rFonts w:hint="eastAsia" w:cs="Times New Roman"/>
                <w:sz w:val="18"/>
                <w:szCs w:val="18"/>
                <w:lang w:val="en-US" w:eastAsia="zh-CN"/>
              </w:rPr>
              <w:t>端正</w:t>
            </w:r>
            <w:r>
              <w:rPr>
                <w:rFonts w:hint="eastAsia" w:ascii="Times New Roman" w:hAnsi="Times New Roman" w:cs="Times New Roman"/>
                <w:sz w:val="18"/>
                <w:szCs w:val="18"/>
                <w:lang w:val="en-US" w:eastAsia="zh-CN"/>
              </w:rPr>
              <w:t>的</w:t>
            </w:r>
            <w:r>
              <w:rPr>
                <w:rFonts w:hint="eastAsia" w:cs="Times New Roman"/>
                <w:sz w:val="18"/>
                <w:szCs w:val="18"/>
                <w:lang w:val="en-US" w:eastAsia="zh-CN"/>
              </w:rPr>
              <w:t>社会现象认识</w:t>
            </w:r>
            <w:r>
              <w:rPr>
                <w:rFonts w:hint="eastAsia" w:ascii="Times New Roman" w:hAnsi="Times New Roman" w:cs="Times New Roman"/>
                <w:sz w:val="18"/>
                <w:szCs w:val="18"/>
                <w:lang w:val="en-US" w:eastAsia="zh-CN"/>
              </w:rPr>
              <w:t>，</w:t>
            </w:r>
            <w:r>
              <w:rPr>
                <w:rFonts w:hint="eastAsia" w:cs="Times New Roman"/>
                <w:sz w:val="18"/>
                <w:szCs w:val="18"/>
                <w:lang w:val="en-US" w:eastAsia="zh-CN"/>
              </w:rPr>
              <w:t>培养健康生活习惯</w:t>
            </w:r>
          </w:p>
          <w:p>
            <w:pPr>
              <w:numPr>
                <w:ilvl w:val="0"/>
                <w:numId w:val="5"/>
              </w:numPr>
              <w:spacing w:line="240" w:lineRule="auto"/>
              <w:jc w:val="left"/>
              <w:rPr>
                <w:rFonts w:hint="eastAsia" w:ascii="Times New Roman" w:hAnsi="Times New Roman" w:cs="Times New Roman"/>
                <w:sz w:val="18"/>
                <w:szCs w:val="18"/>
              </w:rPr>
            </w:pPr>
            <w:r>
              <w:rPr>
                <w:rFonts w:hint="eastAsia" w:cs="Times New Roman"/>
                <w:sz w:val="18"/>
                <w:szCs w:val="18"/>
                <w:lang w:val="en-US" w:eastAsia="zh-CN"/>
              </w:rPr>
              <w:t>提升</w:t>
            </w:r>
            <w:r>
              <w:rPr>
                <w:rFonts w:hint="eastAsia" w:ascii="Times New Roman" w:hAnsi="Times New Roman" w:cs="Times New Roman"/>
                <w:sz w:val="18"/>
                <w:szCs w:val="18"/>
                <w:lang w:val="en-US" w:eastAsia="zh-CN"/>
              </w:rPr>
              <w:t>科学辨证能力</w:t>
            </w:r>
            <w:r>
              <w:rPr>
                <w:rFonts w:hint="eastAsia" w:cs="Times New Roman"/>
                <w:sz w:val="18"/>
                <w:szCs w:val="18"/>
                <w:lang w:val="en-US" w:eastAsia="zh-CN"/>
              </w:rPr>
              <w:t>，形成严谨求知态度</w:t>
            </w:r>
          </w:p>
        </w:tc>
        <w:tc>
          <w:tcPr>
            <w:tcW w:w="3508" w:type="dxa"/>
            <w:shd w:val="clear" w:color="auto" w:fill="auto"/>
            <w:noWrap w:val="0"/>
            <w:vAlign w:val="center"/>
          </w:tcPr>
          <w:p>
            <w:pPr>
              <w:numPr>
                <w:ilvl w:val="0"/>
                <w:numId w:val="6"/>
              </w:numPr>
              <w:spacing w:line="240" w:lineRule="auto"/>
              <w:jc w:val="left"/>
              <w:rPr>
                <w:rFonts w:hint="eastAsia" w:cs="Times New Roman"/>
                <w:sz w:val="18"/>
                <w:szCs w:val="18"/>
                <w:lang w:val="en-US" w:eastAsia="zh-CN"/>
              </w:rPr>
            </w:pPr>
            <w:r>
              <w:rPr>
                <w:rFonts w:hint="eastAsia" w:cs="Times New Roman"/>
                <w:sz w:val="18"/>
                <w:szCs w:val="18"/>
                <w:lang w:val="en-US" w:eastAsia="zh-CN"/>
              </w:rPr>
              <w:t>衔接紫外线治疗原理，明确紫外线疗法对在促进骨质健康的积极意义，思考适度防晒</w:t>
            </w:r>
          </w:p>
          <w:p>
            <w:pPr>
              <w:numPr>
                <w:ilvl w:val="0"/>
                <w:numId w:val="6"/>
              </w:numPr>
              <w:spacing w:line="240" w:lineRule="auto"/>
              <w:jc w:val="left"/>
              <w:rPr>
                <w:rFonts w:hint="default" w:cs="Times New Roman"/>
                <w:sz w:val="18"/>
                <w:szCs w:val="18"/>
                <w:lang w:val="en-US" w:eastAsia="zh-CN"/>
              </w:rPr>
            </w:pPr>
            <w:r>
              <w:rPr>
                <w:rFonts w:hint="eastAsia" w:cs="Times New Roman"/>
                <w:sz w:val="18"/>
                <w:szCs w:val="18"/>
                <w:lang w:val="en-US" w:eastAsia="zh-CN"/>
              </w:rPr>
              <w:t>学习激光疗法具体技术，探究激光不同治疗功率与其临床应用间的关联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shd w:val="clear" w:color="auto" w:fill="auto"/>
            <w:noWrap w:val="0"/>
            <w:vAlign w:val="center"/>
          </w:tcPr>
          <w:p>
            <w:pPr>
              <w:spacing w:line="240" w:lineRule="auto"/>
              <w:jc w:val="center"/>
              <w:rPr>
                <w:rFonts w:hint="eastAsia" w:eastAsia="宋体"/>
                <w:sz w:val="18"/>
                <w:szCs w:val="18"/>
                <w:lang w:eastAsia="zh-CN"/>
              </w:rPr>
            </w:pPr>
            <w:r>
              <w:rPr>
                <w:rFonts w:hint="eastAsia"/>
                <w:sz w:val="18"/>
                <w:szCs w:val="18"/>
                <w:lang w:val="en-US" w:eastAsia="zh-CN"/>
              </w:rPr>
              <w:t>4</w:t>
            </w:r>
          </w:p>
        </w:tc>
        <w:tc>
          <w:tcPr>
            <w:tcW w:w="1352" w:type="dxa"/>
            <w:shd w:val="clear" w:color="auto" w:fill="auto"/>
            <w:noWrap w:val="0"/>
            <w:vAlign w:val="center"/>
          </w:tcPr>
          <w:p>
            <w:pPr>
              <w:spacing w:line="240" w:lineRule="auto"/>
              <w:jc w:val="center"/>
              <w:rPr>
                <w:rFonts w:hint="eastAsia" w:ascii="Times New Roman" w:hAnsi="Times New Roman" w:cs="Times New Roman"/>
                <w:sz w:val="18"/>
                <w:szCs w:val="18"/>
              </w:rPr>
            </w:pPr>
            <w:r>
              <w:rPr>
                <w:rFonts w:hint="eastAsia" w:ascii="Times New Roman" w:hAnsi="Times New Roman" w:cs="Times New Roman"/>
                <w:sz w:val="18"/>
                <w:szCs w:val="18"/>
                <w:lang w:val="en-US" w:eastAsia="zh-CN"/>
              </w:rPr>
              <w:t>超声波疗法</w:t>
            </w:r>
          </w:p>
        </w:tc>
        <w:tc>
          <w:tcPr>
            <w:tcW w:w="2700" w:type="dxa"/>
            <w:shd w:val="clear" w:color="auto" w:fill="auto"/>
            <w:noWrap w:val="0"/>
            <w:vAlign w:val="center"/>
          </w:tcPr>
          <w:p>
            <w:pPr>
              <w:numPr>
                <w:ilvl w:val="0"/>
                <w:numId w:val="7"/>
              </w:numPr>
              <w:spacing w:line="240" w:lineRule="auto"/>
              <w:jc w:val="left"/>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感知</w:t>
            </w:r>
            <w:r>
              <w:rPr>
                <w:rFonts w:hint="eastAsia" w:cs="Times New Roman"/>
                <w:sz w:val="18"/>
                <w:szCs w:val="18"/>
                <w:lang w:val="en-US" w:eastAsia="zh-CN"/>
              </w:rPr>
              <w:t>制度优势与科技自信，强化</w:t>
            </w:r>
            <w:r>
              <w:rPr>
                <w:rFonts w:hint="eastAsia" w:ascii="Times New Roman" w:hAnsi="Times New Roman" w:cs="Times New Roman"/>
                <w:sz w:val="18"/>
                <w:szCs w:val="18"/>
                <w:lang w:val="en-US" w:eastAsia="zh-CN"/>
              </w:rPr>
              <w:t>民族荣誉</w:t>
            </w:r>
          </w:p>
          <w:p>
            <w:pPr>
              <w:numPr>
                <w:ilvl w:val="0"/>
                <w:numId w:val="7"/>
              </w:numPr>
              <w:spacing w:line="240" w:lineRule="auto"/>
              <w:jc w:val="left"/>
              <w:rPr>
                <w:rFonts w:hint="eastAsia" w:ascii="Times New Roman" w:hAnsi="Times New Roman" w:cs="Times New Roman"/>
                <w:sz w:val="18"/>
                <w:szCs w:val="18"/>
                <w:lang w:val="en-US" w:eastAsia="zh-CN"/>
              </w:rPr>
            </w:pPr>
            <w:r>
              <w:rPr>
                <w:rFonts w:hint="eastAsia" w:cs="Times New Roman"/>
                <w:sz w:val="18"/>
                <w:szCs w:val="18"/>
                <w:lang w:val="en-US" w:eastAsia="zh-CN"/>
              </w:rPr>
              <w:t>遵循仪器</w:t>
            </w:r>
            <w:r>
              <w:rPr>
                <w:rFonts w:hint="eastAsia" w:ascii="Times New Roman" w:hAnsi="Times New Roman" w:cs="Times New Roman"/>
                <w:sz w:val="18"/>
                <w:szCs w:val="18"/>
                <w:lang w:val="en-US" w:eastAsia="zh-CN"/>
              </w:rPr>
              <w:t>操作规范</w:t>
            </w:r>
            <w:r>
              <w:rPr>
                <w:rFonts w:hint="eastAsia" w:cs="Times New Roman"/>
                <w:sz w:val="18"/>
                <w:szCs w:val="18"/>
                <w:lang w:val="en-US" w:eastAsia="zh-CN"/>
              </w:rPr>
              <w:t>，明确爱护设备的义务</w:t>
            </w:r>
          </w:p>
        </w:tc>
        <w:tc>
          <w:tcPr>
            <w:tcW w:w="3508" w:type="dxa"/>
            <w:shd w:val="clear" w:color="auto" w:fill="auto"/>
            <w:noWrap w:val="0"/>
            <w:vAlign w:val="center"/>
          </w:tcPr>
          <w:p>
            <w:pPr>
              <w:numPr>
                <w:ilvl w:val="0"/>
                <w:numId w:val="8"/>
              </w:numPr>
              <w:spacing w:line="240" w:lineRule="auto"/>
              <w:jc w:val="left"/>
              <w:rPr>
                <w:rFonts w:hint="eastAsia" w:ascii="Times New Roman" w:hAnsi="Times New Roman" w:cs="Times New Roman"/>
                <w:sz w:val="18"/>
                <w:szCs w:val="18"/>
                <w:lang w:val="en-US" w:eastAsia="zh-CN"/>
              </w:rPr>
            </w:pPr>
            <w:r>
              <w:rPr>
                <w:rFonts w:hint="eastAsia" w:cs="Times New Roman"/>
                <w:sz w:val="18"/>
                <w:szCs w:val="18"/>
                <w:lang w:val="en-US" w:eastAsia="zh-CN"/>
              </w:rPr>
              <w:t>引入</w:t>
            </w:r>
            <w:r>
              <w:rPr>
                <w:rFonts w:hint="eastAsia" w:ascii="Times New Roman" w:hAnsi="Times New Roman" w:cs="Times New Roman"/>
                <w:sz w:val="18"/>
                <w:szCs w:val="18"/>
                <w:lang w:val="en-US" w:eastAsia="zh-CN"/>
              </w:rPr>
              <w:t>聚焦超声无创治疗</w:t>
            </w:r>
            <w:r>
              <w:rPr>
                <w:rFonts w:hint="eastAsia" w:cs="Times New Roman"/>
                <w:sz w:val="18"/>
                <w:szCs w:val="18"/>
                <w:lang w:val="en-US" w:eastAsia="zh-CN"/>
              </w:rPr>
              <w:t>、</w:t>
            </w:r>
            <w:r>
              <w:rPr>
                <w:rFonts w:hint="eastAsia" w:ascii="Times New Roman" w:hAnsi="Times New Roman" w:cs="Times New Roman"/>
                <w:sz w:val="18"/>
                <w:szCs w:val="18"/>
                <w:lang w:val="en-US" w:eastAsia="zh-CN"/>
              </w:rPr>
              <w:t>海扶刀等中国具有自主知识产权的超声波疗法</w:t>
            </w:r>
            <w:r>
              <w:rPr>
                <w:rFonts w:hint="eastAsia" w:cs="Times New Roman"/>
                <w:sz w:val="18"/>
                <w:szCs w:val="18"/>
                <w:lang w:val="en-US" w:eastAsia="zh-CN"/>
              </w:rPr>
              <w:t>，</w:t>
            </w:r>
            <w:r>
              <w:rPr>
                <w:rFonts w:hint="eastAsia" w:ascii="Times New Roman" w:hAnsi="Times New Roman" w:cs="Times New Roman"/>
                <w:sz w:val="18"/>
                <w:szCs w:val="18"/>
                <w:lang w:val="en-US" w:eastAsia="zh-CN"/>
              </w:rPr>
              <w:t>感知中国智造在世界的引领性和影响力</w:t>
            </w:r>
          </w:p>
          <w:p>
            <w:pPr>
              <w:numPr>
                <w:ilvl w:val="0"/>
                <w:numId w:val="8"/>
              </w:numPr>
              <w:spacing w:line="240" w:lineRule="auto"/>
              <w:jc w:val="left"/>
              <w:rPr>
                <w:rFonts w:hint="eastAsia" w:ascii="Times New Roman" w:hAnsi="Times New Roman" w:cs="Times New Roman"/>
                <w:sz w:val="18"/>
                <w:szCs w:val="18"/>
                <w:lang w:val="en-US" w:eastAsia="zh-CN"/>
              </w:rPr>
            </w:pPr>
            <w:r>
              <w:rPr>
                <w:rFonts w:hint="eastAsia" w:cs="Times New Roman"/>
                <w:sz w:val="18"/>
                <w:szCs w:val="18"/>
                <w:lang w:val="en-US" w:eastAsia="zh-CN"/>
              </w:rPr>
              <w:t>说明超声波疗法应用注意事项，避免仪器“空载”情况，提示仪器规范使用重要性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shd w:val="clear" w:color="auto" w:fill="auto"/>
            <w:noWrap w:val="0"/>
            <w:vAlign w:val="center"/>
          </w:tcPr>
          <w:p>
            <w:pPr>
              <w:spacing w:line="240" w:lineRule="auto"/>
              <w:jc w:val="center"/>
              <w:rPr>
                <w:rFonts w:hint="eastAsia" w:eastAsia="宋体"/>
                <w:sz w:val="18"/>
                <w:szCs w:val="18"/>
                <w:lang w:eastAsia="zh-CN"/>
              </w:rPr>
            </w:pPr>
            <w:r>
              <w:rPr>
                <w:rFonts w:hint="eastAsia"/>
                <w:sz w:val="18"/>
                <w:szCs w:val="18"/>
                <w:lang w:val="en-US" w:eastAsia="zh-CN"/>
              </w:rPr>
              <w:t>5</w:t>
            </w:r>
          </w:p>
        </w:tc>
        <w:tc>
          <w:tcPr>
            <w:tcW w:w="1352" w:type="dxa"/>
            <w:shd w:val="clear" w:color="auto" w:fill="auto"/>
            <w:noWrap w:val="0"/>
            <w:vAlign w:val="center"/>
          </w:tcPr>
          <w:p>
            <w:pPr>
              <w:spacing w:line="240" w:lineRule="auto"/>
              <w:jc w:val="center"/>
              <w:rPr>
                <w:rFonts w:hint="eastAsia" w:ascii="Times New Roman" w:hAnsi="Times New Roman" w:cs="Times New Roman"/>
                <w:sz w:val="18"/>
                <w:szCs w:val="18"/>
              </w:rPr>
            </w:pPr>
            <w:r>
              <w:rPr>
                <w:rFonts w:hint="eastAsia" w:ascii="Times New Roman" w:hAnsi="Times New Roman" w:cs="Times New Roman"/>
                <w:sz w:val="18"/>
                <w:szCs w:val="18"/>
                <w:lang w:val="en-US" w:eastAsia="zh-CN"/>
              </w:rPr>
              <w:t>磁疗法</w:t>
            </w:r>
          </w:p>
        </w:tc>
        <w:tc>
          <w:tcPr>
            <w:tcW w:w="2700" w:type="dxa"/>
            <w:shd w:val="clear" w:color="auto" w:fill="auto"/>
            <w:noWrap w:val="0"/>
            <w:vAlign w:val="center"/>
          </w:tcPr>
          <w:p>
            <w:pPr>
              <w:numPr>
                <w:ilvl w:val="0"/>
                <w:numId w:val="9"/>
              </w:numPr>
              <w:spacing w:line="240" w:lineRule="auto"/>
              <w:jc w:val="left"/>
              <w:rPr>
                <w:rFonts w:hint="eastAsia" w:cs="Times New Roman"/>
                <w:sz w:val="18"/>
                <w:szCs w:val="18"/>
                <w:lang w:val="en-US" w:eastAsia="zh-CN"/>
              </w:rPr>
            </w:pPr>
            <w:r>
              <w:rPr>
                <w:rFonts w:hint="eastAsia" w:cs="Times New Roman"/>
                <w:sz w:val="18"/>
                <w:szCs w:val="18"/>
                <w:lang w:val="en-US" w:eastAsia="zh-CN"/>
              </w:rPr>
              <w:t>训练</w:t>
            </w:r>
            <w:r>
              <w:rPr>
                <w:rFonts w:hint="eastAsia" w:ascii="Times New Roman" w:hAnsi="Times New Roman" w:cs="Times New Roman"/>
                <w:sz w:val="18"/>
                <w:szCs w:val="18"/>
                <w:lang w:val="en-US" w:eastAsia="zh-CN"/>
              </w:rPr>
              <w:t>基本科研思维与素养，</w:t>
            </w:r>
            <w:r>
              <w:rPr>
                <w:rFonts w:hint="eastAsia" w:cs="Times New Roman"/>
                <w:sz w:val="18"/>
                <w:szCs w:val="18"/>
                <w:lang w:val="en-US" w:eastAsia="zh-CN"/>
              </w:rPr>
              <w:t>挖掘</w:t>
            </w:r>
            <w:r>
              <w:rPr>
                <w:rFonts w:hint="eastAsia" w:ascii="Times New Roman" w:hAnsi="Times New Roman" w:cs="Times New Roman"/>
                <w:sz w:val="18"/>
                <w:szCs w:val="18"/>
                <w:lang w:val="en-US" w:eastAsia="zh-CN"/>
              </w:rPr>
              <w:t>创新</w:t>
            </w:r>
            <w:r>
              <w:rPr>
                <w:rFonts w:hint="eastAsia" w:cs="Times New Roman"/>
                <w:sz w:val="18"/>
                <w:szCs w:val="18"/>
                <w:lang w:val="en-US" w:eastAsia="zh-CN"/>
              </w:rPr>
              <w:t>思维</w:t>
            </w:r>
          </w:p>
          <w:p>
            <w:pPr>
              <w:numPr>
                <w:ilvl w:val="0"/>
                <w:numId w:val="9"/>
              </w:numPr>
              <w:spacing w:line="240" w:lineRule="auto"/>
              <w:jc w:val="left"/>
              <w:rPr>
                <w:rFonts w:hint="eastAsia" w:cs="Times New Roman"/>
                <w:sz w:val="18"/>
                <w:szCs w:val="18"/>
                <w:lang w:val="en-US" w:eastAsia="zh-CN"/>
              </w:rPr>
            </w:pPr>
            <w:r>
              <w:rPr>
                <w:rFonts w:hint="eastAsia" w:cs="Times New Roman"/>
                <w:sz w:val="18"/>
                <w:szCs w:val="18"/>
                <w:lang w:val="en-US" w:eastAsia="zh-CN"/>
              </w:rPr>
              <w:t>培养服务意识，践行专业认知</w:t>
            </w:r>
          </w:p>
        </w:tc>
        <w:tc>
          <w:tcPr>
            <w:tcW w:w="3508" w:type="dxa"/>
            <w:shd w:val="clear" w:color="auto" w:fill="auto"/>
            <w:noWrap w:val="0"/>
            <w:vAlign w:val="center"/>
          </w:tcPr>
          <w:p>
            <w:pPr>
              <w:numPr>
                <w:ilvl w:val="0"/>
                <w:numId w:val="10"/>
              </w:numPr>
              <w:spacing w:line="240" w:lineRule="auto"/>
              <w:jc w:val="left"/>
              <w:rPr>
                <w:rFonts w:hint="default" w:cs="Times New Roman"/>
                <w:sz w:val="18"/>
                <w:szCs w:val="18"/>
                <w:lang w:val="en-US" w:eastAsia="zh-CN"/>
              </w:rPr>
            </w:pPr>
            <w:r>
              <w:rPr>
                <w:rFonts w:hint="eastAsia" w:cs="Times New Roman"/>
                <w:sz w:val="18"/>
                <w:szCs w:val="18"/>
                <w:lang w:val="en-US" w:eastAsia="zh-CN"/>
              </w:rPr>
              <w:t>介绍中国古代磁疗法应用与现代磁疗法技术发展，感悟科学探索与创新意识对医学领域的革新意义</w:t>
            </w:r>
          </w:p>
          <w:p>
            <w:pPr>
              <w:numPr>
                <w:ilvl w:val="0"/>
                <w:numId w:val="10"/>
              </w:numPr>
              <w:spacing w:line="240" w:lineRule="auto"/>
              <w:jc w:val="left"/>
              <w:rPr>
                <w:rFonts w:hint="default" w:cs="Times New Roman"/>
                <w:sz w:val="18"/>
                <w:szCs w:val="18"/>
                <w:lang w:val="en-US" w:eastAsia="zh-CN"/>
              </w:rPr>
            </w:pPr>
            <w:r>
              <w:rPr>
                <w:rFonts w:hint="eastAsia" w:cs="Times New Roman"/>
                <w:sz w:val="18"/>
                <w:szCs w:val="18"/>
                <w:lang w:val="en-US" w:eastAsia="zh-CN"/>
              </w:rPr>
              <w:t>引申</w:t>
            </w:r>
            <w:r>
              <w:rPr>
                <w:rFonts w:hint="eastAsia" w:ascii="Times New Roman" w:hAnsi="Times New Roman" w:cs="Times New Roman"/>
                <w:sz w:val="18"/>
                <w:szCs w:val="18"/>
                <w:lang w:val="en-US" w:eastAsia="zh-CN"/>
              </w:rPr>
              <w:t>磁疗法</w:t>
            </w:r>
            <w:r>
              <w:rPr>
                <w:rFonts w:hint="eastAsia" w:cs="Times New Roman"/>
                <w:sz w:val="18"/>
                <w:szCs w:val="18"/>
                <w:lang w:val="en-US" w:eastAsia="zh-CN"/>
              </w:rPr>
              <w:t>的镇静作用，关注患者在</w:t>
            </w:r>
            <w:r>
              <w:rPr>
                <w:rFonts w:hint="eastAsia" w:ascii="Times New Roman" w:hAnsi="Times New Roman" w:cs="Times New Roman"/>
                <w:sz w:val="18"/>
                <w:szCs w:val="18"/>
                <w:lang w:val="en-US" w:eastAsia="zh-CN"/>
              </w:rPr>
              <w:t>物理因子治疗</w:t>
            </w:r>
            <w:r>
              <w:rPr>
                <w:rFonts w:hint="eastAsia" w:cs="Times New Roman"/>
                <w:sz w:val="18"/>
                <w:szCs w:val="18"/>
                <w:lang w:val="en-US" w:eastAsia="zh-CN"/>
              </w:rPr>
              <w:t>过程中的心理变化，贯彻全面康复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shd w:val="clear" w:color="auto" w:fill="auto"/>
            <w:noWrap w:val="0"/>
            <w:vAlign w:val="center"/>
          </w:tcPr>
          <w:p>
            <w:pPr>
              <w:spacing w:line="240" w:lineRule="auto"/>
              <w:jc w:val="center"/>
              <w:rPr>
                <w:rFonts w:hint="eastAsia" w:eastAsia="宋体"/>
                <w:sz w:val="18"/>
                <w:szCs w:val="18"/>
                <w:lang w:val="en-US" w:eastAsia="zh-CN"/>
              </w:rPr>
            </w:pPr>
            <w:r>
              <w:rPr>
                <w:rFonts w:hint="eastAsia"/>
                <w:sz w:val="18"/>
                <w:szCs w:val="18"/>
                <w:lang w:val="en-US" w:eastAsia="zh-CN"/>
              </w:rPr>
              <w:t>6</w:t>
            </w:r>
          </w:p>
        </w:tc>
        <w:tc>
          <w:tcPr>
            <w:tcW w:w="1352" w:type="dxa"/>
            <w:shd w:val="clear" w:color="auto" w:fill="auto"/>
            <w:noWrap w:val="0"/>
            <w:vAlign w:val="center"/>
          </w:tcPr>
          <w:p>
            <w:pPr>
              <w:spacing w:line="240" w:lineRule="auto"/>
              <w:jc w:val="cente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传导热疗法</w:t>
            </w:r>
          </w:p>
        </w:tc>
        <w:tc>
          <w:tcPr>
            <w:tcW w:w="2700" w:type="dxa"/>
            <w:shd w:val="clear" w:color="auto" w:fill="auto"/>
            <w:noWrap w:val="0"/>
            <w:vAlign w:val="center"/>
          </w:tcPr>
          <w:p>
            <w:pPr>
              <w:numPr>
                <w:ilvl w:val="0"/>
                <w:numId w:val="11"/>
              </w:numPr>
              <w:spacing w:line="240" w:lineRule="auto"/>
              <w:jc w:val="left"/>
              <w:rPr>
                <w:rFonts w:hint="eastAsia" w:cs="Times New Roman"/>
                <w:sz w:val="18"/>
                <w:szCs w:val="18"/>
                <w:lang w:val="en-US" w:eastAsia="zh-CN"/>
              </w:rPr>
            </w:pPr>
            <w:r>
              <w:rPr>
                <w:rFonts w:hint="eastAsia" w:cs="Times New Roman"/>
                <w:sz w:val="18"/>
                <w:szCs w:val="18"/>
                <w:lang w:val="en-US" w:eastAsia="zh-CN"/>
              </w:rPr>
              <w:t>遵守治疗规程，培养慎独、严谨的职业态度</w:t>
            </w:r>
          </w:p>
          <w:p>
            <w:pPr>
              <w:numPr>
                <w:ilvl w:val="0"/>
                <w:numId w:val="11"/>
              </w:numPr>
              <w:spacing w:line="240" w:lineRule="auto"/>
              <w:jc w:val="left"/>
              <w:rPr>
                <w:rFonts w:hint="eastAsia" w:ascii="Times New Roman" w:hAnsi="Times New Roman" w:cs="Times New Roman"/>
                <w:sz w:val="18"/>
                <w:szCs w:val="18"/>
              </w:rPr>
            </w:pPr>
            <w:r>
              <w:rPr>
                <w:rFonts w:hint="eastAsia" w:cs="Times New Roman"/>
                <w:sz w:val="18"/>
                <w:szCs w:val="18"/>
                <w:lang w:val="en-US" w:eastAsia="zh-CN"/>
              </w:rPr>
              <w:t>锤炼</w:t>
            </w:r>
            <w:r>
              <w:rPr>
                <w:rFonts w:hint="eastAsia" w:ascii="Times New Roman" w:hAnsi="Times New Roman" w:cs="Times New Roman"/>
                <w:sz w:val="18"/>
                <w:szCs w:val="18"/>
                <w:lang w:val="en-US" w:eastAsia="zh-CN"/>
              </w:rPr>
              <w:t>应急处置能力</w:t>
            </w:r>
            <w:r>
              <w:rPr>
                <w:rFonts w:hint="eastAsia" w:cs="Times New Roman"/>
                <w:sz w:val="18"/>
                <w:szCs w:val="18"/>
                <w:lang w:val="en-US" w:eastAsia="zh-CN"/>
              </w:rPr>
              <w:t>，打磨</w:t>
            </w:r>
            <w:r>
              <w:rPr>
                <w:rFonts w:hint="eastAsia" w:ascii="Times New Roman" w:hAnsi="Times New Roman" w:cs="Times New Roman"/>
                <w:sz w:val="18"/>
                <w:szCs w:val="18"/>
                <w:lang w:val="en-US" w:eastAsia="zh-CN"/>
              </w:rPr>
              <w:t>临危不乱的心理素质</w:t>
            </w:r>
          </w:p>
        </w:tc>
        <w:tc>
          <w:tcPr>
            <w:tcW w:w="3508" w:type="dxa"/>
            <w:shd w:val="clear" w:color="auto" w:fill="auto"/>
            <w:noWrap w:val="0"/>
            <w:vAlign w:val="center"/>
          </w:tcPr>
          <w:p>
            <w:pPr>
              <w:numPr>
                <w:ilvl w:val="0"/>
                <w:numId w:val="12"/>
              </w:numPr>
              <w:spacing w:line="240" w:lineRule="auto"/>
              <w:jc w:val="left"/>
              <w:rPr>
                <w:rFonts w:hint="eastAsia" w:cs="Times New Roman"/>
                <w:sz w:val="18"/>
                <w:szCs w:val="18"/>
                <w:lang w:val="en-US" w:eastAsia="zh-CN"/>
              </w:rPr>
            </w:pPr>
            <w:r>
              <w:rPr>
                <w:rFonts w:hint="eastAsia" w:cs="Times New Roman"/>
                <w:sz w:val="18"/>
                <w:szCs w:val="18"/>
                <w:lang w:val="en-US" w:eastAsia="zh-CN"/>
              </w:rPr>
              <w:t>比较不同传导热疗法特色化应用，依据充分评定为患者量身定制相关治疗计划</w:t>
            </w:r>
          </w:p>
          <w:p>
            <w:pPr>
              <w:numPr>
                <w:ilvl w:val="0"/>
                <w:numId w:val="12"/>
              </w:numPr>
              <w:spacing w:line="240" w:lineRule="auto"/>
              <w:jc w:val="left"/>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进行操作安全教育，强调实训要求、安全以及突发情况的应急措施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shd w:val="clear" w:color="auto" w:fill="auto"/>
            <w:noWrap w:val="0"/>
            <w:vAlign w:val="center"/>
          </w:tcPr>
          <w:p>
            <w:pPr>
              <w:spacing w:line="240" w:lineRule="auto"/>
              <w:jc w:val="center"/>
              <w:rPr>
                <w:rFonts w:hint="eastAsia" w:eastAsia="宋体"/>
                <w:sz w:val="18"/>
                <w:szCs w:val="18"/>
                <w:lang w:val="en-US" w:eastAsia="zh-CN"/>
              </w:rPr>
            </w:pPr>
            <w:r>
              <w:rPr>
                <w:rFonts w:hint="eastAsia"/>
                <w:sz w:val="18"/>
                <w:szCs w:val="18"/>
                <w:lang w:val="en-US" w:eastAsia="zh-CN"/>
              </w:rPr>
              <w:t>7</w:t>
            </w:r>
          </w:p>
        </w:tc>
        <w:tc>
          <w:tcPr>
            <w:tcW w:w="1352" w:type="dxa"/>
            <w:shd w:val="clear" w:color="auto" w:fill="auto"/>
            <w:noWrap w:val="0"/>
            <w:vAlign w:val="center"/>
          </w:tcPr>
          <w:p>
            <w:pPr>
              <w:spacing w:line="240" w:lineRule="auto"/>
              <w:jc w:val="center"/>
              <w:rPr>
                <w:rFonts w:hint="eastAsia" w:ascii="Times New Roman" w:hAnsi="Times New Roman" w:cs="Times New Roman"/>
                <w:sz w:val="18"/>
                <w:szCs w:val="18"/>
              </w:rPr>
            </w:pPr>
            <w:r>
              <w:rPr>
                <w:rFonts w:hint="eastAsia" w:ascii="Times New Roman" w:hAnsi="Times New Roman" w:cs="Times New Roman"/>
                <w:sz w:val="18"/>
                <w:szCs w:val="18"/>
                <w:lang w:val="en-US" w:eastAsia="zh-CN"/>
              </w:rPr>
              <w:t>冷冻疗法</w:t>
            </w:r>
          </w:p>
        </w:tc>
        <w:tc>
          <w:tcPr>
            <w:tcW w:w="2700" w:type="dxa"/>
            <w:shd w:val="clear" w:color="auto" w:fill="auto"/>
            <w:noWrap w:val="0"/>
            <w:vAlign w:val="center"/>
          </w:tcPr>
          <w:p>
            <w:pPr>
              <w:numPr>
                <w:ilvl w:val="0"/>
                <w:numId w:val="13"/>
              </w:numPr>
              <w:spacing w:line="240" w:lineRule="auto"/>
              <w:jc w:val="left"/>
              <w:rPr>
                <w:rFonts w:hint="eastAsia" w:cs="Times New Roman"/>
                <w:sz w:val="18"/>
                <w:szCs w:val="18"/>
                <w:lang w:val="en-US" w:eastAsia="zh-CN"/>
              </w:rPr>
            </w:pPr>
            <w:r>
              <w:rPr>
                <w:rFonts w:hint="eastAsia" w:cs="Times New Roman"/>
                <w:sz w:val="18"/>
                <w:szCs w:val="18"/>
                <w:lang w:val="en-US" w:eastAsia="zh-CN"/>
              </w:rPr>
              <w:t>塑造身边的楷模，强化专业信念</w:t>
            </w:r>
          </w:p>
          <w:p>
            <w:pPr>
              <w:numPr>
                <w:ilvl w:val="0"/>
                <w:numId w:val="13"/>
              </w:numPr>
              <w:spacing w:line="240" w:lineRule="auto"/>
              <w:jc w:val="left"/>
              <w:rPr>
                <w:rFonts w:hint="eastAsia" w:ascii="Times New Roman" w:hAnsi="Times New Roman" w:cs="Times New Roman"/>
                <w:sz w:val="18"/>
                <w:szCs w:val="18"/>
              </w:rPr>
            </w:pPr>
            <w:r>
              <w:rPr>
                <w:rFonts w:hint="eastAsia" w:ascii="Times New Roman" w:hAnsi="Times New Roman" w:cs="Times New Roman"/>
                <w:sz w:val="18"/>
                <w:szCs w:val="18"/>
                <w:lang w:val="en-US" w:eastAsia="zh-CN"/>
              </w:rPr>
              <w:t>注重伦理分析，健全职业操守全面培养</w:t>
            </w:r>
          </w:p>
        </w:tc>
        <w:tc>
          <w:tcPr>
            <w:tcW w:w="3508" w:type="dxa"/>
            <w:shd w:val="clear" w:color="auto" w:fill="auto"/>
            <w:noWrap w:val="0"/>
            <w:vAlign w:val="center"/>
          </w:tcPr>
          <w:p>
            <w:pPr>
              <w:numPr>
                <w:ilvl w:val="0"/>
                <w:numId w:val="14"/>
              </w:numPr>
              <w:spacing w:line="240" w:lineRule="auto"/>
              <w:jc w:val="left"/>
              <w:rPr>
                <w:rFonts w:hint="eastAsia" w:cs="Times New Roman"/>
                <w:sz w:val="18"/>
                <w:szCs w:val="18"/>
                <w:lang w:val="en-US" w:eastAsia="zh-CN"/>
              </w:rPr>
            </w:pPr>
            <w:r>
              <w:rPr>
                <w:rFonts w:hint="eastAsia" w:cs="Times New Roman"/>
                <w:sz w:val="18"/>
                <w:szCs w:val="18"/>
                <w:lang w:val="en-US" w:eastAsia="zh-CN"/>
              </w:rPr>
              <w:t>引入我校2021届毕业生运用冰敷为福建省大运会游泳项目提供随队医疗保障案例，说明冷疗法在运动损伤的临床应用</w:t>
            </w:r>
          </w:p>
          <w:p>
            <w:pPr>
              <w:numPr>
                <w:ilvl w:val="0"/>
                <w:numId w:val="14"/>
              </w:numPr>
              <w:spacing w:line="240" w:lineRule="auto"/>
              <w:jc w:val="left"/>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了解精子冷冻技术，就保护后代、社会公益等方面进行医学伦理讨论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shd w:val="clear" w:color="auto" w:fill="auto"/>
            <w:noWrap w:val="0"/>
            <w:vAlign w:val="center"/>
          </w:tcPr>
          <w:p>
            <w:pPr>
              <w:spacing w:line="240" w:lineRule="auto"/>
              <w:jc w:val="center"/>
              <w:rPr>
                <w:rFonts w:hint="eastAsia" w:eastAsia="宋体"/>
                <w:sz w:val="18"/>
                <w:szCs w:val="18"/>
                <w:lang w:val="en-US" w:eastAsia="zh-CN"/>
              </w:rPr>
            </w:pPr>
            <w:r>
              <w:rPr>
                <w:rFonts w:hint="eastAsia"/>
                <w:sz w:val="18"/>
                <w:szCs w:val="18"/>
                <w:lang w:val="en-US" w:eastAsia="zh-CN"/>
              </w:rPr>
              <w:t>8</w:t>
            </w:r>
          </w:p>
        </w:tc>
        <w:tc>
          <w:tcPr>
            <w:tcW w:w="1352" w:type="dxa"/>
            <w:shd w:val="clear" w:color="auto" w:fill="auto"/>
            <w:noWrap w:val="0"/>
            <w:vAlign w:val="center"/>
          </w:tcPr>
          <w:p>
            <w:pPr>
              <w:spacing w:line="240" w:lineRule="auto"/>
              <w:jc w:val="center"/>
              <w:rPr>
                <w:rFonts w:hint="eastAsia" w:ascii="Times New Roman" w:hAnsi="Times New Roman" w:cs="Times New Roman"/>
                <w:sz w:val="18"/>
                <w:szCs w:val="18"/>
              </w:rPr>
            </w:pPr>
            <w:r>
              <w:rPr>
                <w:rFonts w:hint="eastAsia" w:ascii="Times New Roman" w:hAnsi="Times New Roman" w:cs="Times New Roman"/>
                <w:sz w:val="18"/>
                <w:szCs w:val="18"/>
                <w:lang w:val="en-US" w:eastAsia="zh-CN"/>
              </w:rPr>
              <w:t>水疗法</w:t>
            </w:r>
          </w:p>
        </w:tc>
        <w:tc>
          <w:tcPr>
            <w:tcW w:w="2700" w:type="dxa"/>
            <w:shd w:val="clear" w:color="auto" w:fill="auto"/>
            <w:noWrap w:val="0"/>
            <w:vAlign w:val="center"/>
          </w:tcPr>
          <w:p>
            <w:pPr>
              <w:numPr>
                <w:ilvl w:val="0"/>
                <w:numId w:val="15"/>
              </w:numPr>
              <w:spacing w:line="240" w:lineRule="auto"/>
              <w:jc w:val="left"/>
              <w:rPr>
                <w:rFonts w:hint="eastAsia" w:cs="Times New Roman"/>
                <w:sz w:val="18"/>
                <w:szCs w:val="18"/>
                <w:lang w:val="en-US" w:eastAsia="zh-CN"/>
              </w:rPr>
            </w:pPr>
            <w:r>
              <w:rPr>
                <w:rFonts w:hint="eastAsia" w:cs="Times New Roman"/>
                <w:sz w:val="18"/>
                <w:szCs w:val="18"/>
                <w:lang w:val="en-US" w:eastAsia="zh-CN"/>
              </w:rPr>
              <w:t>形成地方引领，熏陶家国情怀</w:t>
            </w:r>
          </w:p>
          <w:p>
            <w:pPr>
              <w:numPr>
                <w:ilvl w:val="0"/>
                <w:numId w:val="15"/>
              </w:numPr>
              <w:spacing w:line="240" w:lineRule="auto"/>
              <w:jc w:val="left"/>
              <w:rPr>
                <w:rFonts w:hint="default" w:cs="Times New Roman"/>
                <w:sz w:val="18"/>
                <w:szCs w:val="18"/>
                <w:lang w:val="en-US" w:eastAsia="zh-CN"/>
              </w:rPr>
            </w:pPr>
            <w:r>
              <w:rPr>
                <w:rFonts w:hint="eastAsia" w:cs="Times New Roman"/>
                <w:sz w:val="18"/>
                <w:szCs w:val="18"/>
                <w:lang w:val="en-US" w:eastAsia="zh-CN"/>
              </w:rPr>
              <w:t>建立绿色发展思维，导向节能生活意识</w:t>
            </w:r>
          </w:p>
        </w:tc>
        <w:tc>
          <w:tcPr>
            <w:tcW w:w="3508" w:type="dxa"/>
            <w:shd w:val="clear" w:color="auto" w:fill="auto"/>
            <w:noWrap w:val="0"/>
            <w:vAlign w:val="center"/>
          </w:tcPr>
          <w:p>
            <w:pPr>
              <w:numPr>
                <w:ilvl w:val="0"/>
                <w:numId w:val="16"/>
              </w:numPr>
              <w:spacing w:line="240" w:lineRule="auto"/>
              <w:jc w:val="left"/>
              <w:rPr>
                <w:rFonts w:hint="eastAsia" w:cs="Times New Roman"/>
                <w:sz w:val="18"/>
                <w:szCs w:val="18"/>
                <w:lang w:val="en-US" w:eastAsia="zh-CN"/>
              </w:rPr>
            </w:pPr>
            <w:r>
              <w:rPr>
                <w:rFonts w:hint="eastAsia" w:cs="Times New Roman"/>
                <w:sz w:val="18"/>
                <w:szCs w:val="18"/>
                <w:lang w:val="en-US" w:eastAsia="zh-CN"/>
              </w:rPr>
              <w:t>运用福建当地丰富的地热资源，填充水疗法分类认识</w:t>
            </w:r>
          </w:p>
          <w:p>
            <w:pPr>
              <w:numPr>
                <w:ilvl w:val="0"/>
                <w:numId w:val="16"/>
              </w:numPr>
              <w:spacing w:line="240" w:lineRule="auto"/>
              <w:jc w:val="left"/>
              <w:rPr>
                <w:rFonts w:hint="default" w:ascii="Times New Roman" w:hAnsi="Times New Roman" w:cs="Times New Roman"/>
                <w:sz w:val="18"/>
                <w:szCs w:val="18"/>
                <w:lang w:val="en-US" w:eastAsia="zh-CN"/>
              </w:rPr>
            </w:pPr>
            <w:r>
              <w:rPr>
                <w:rFonts w:hint="eastAsia" w:cs="Times New Roman"/>
                <w:sz w:val="18"/>
                <w:szCs w:val="18"/>
                <w:lang w:val="en-US" w:eastAsia="zh-CN"/>
              </w:rPr>
              <w:t>讲授水疗法操作注意事项，结合节能环保宣教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368" w:type="dxa"/>
            <w:shd w:val="clear" w:color="auto" w:fill="auto"/>
            <w:noWrap w:val="0"/>
            <w:vAlign w:val="center"/>
          </w:tcPr>
          <w:p>
            <w:pPr>
              <w:spacing w:line="240" w:lineRule="auto"/>
              <w:jc w:val="center"/>
              <w:rPr>
                <w:rFonts w:hint="eastAsia" w:eastAsia="宋体"/>
                <w:sz w:val="18"/>
                <w:szCs w:val="18"/>
                <w:lang w:val="en-US" w:eastAsia="zh-CN"/>
              </w:rPr>
            </w:pPr>
            <w:r>
              <w:rPr>
                <w:rFonts w:hint="eastAsia"/>
                <w:sz w:val="18"/>
                <w:szCs w:val="18"/>
                <w:lang w:val="en-US" w:eastAsia="zh-CN"/>
              </w:rPr>
              <w:t>9</w:t>
            </w:r>
          </w:p>
        </w:tc>
        <w:tc>
          <w:tcPr>
            <w:tcW w:w="1352" w:type="dxa"/>
            <w:shd w:val="clear" w:color="auto" w:fill="auto"/>
            <w:noWrap w:val="0"/>
            <w:vAlign w:val="center"/>
          </w:tcPr>
          <w:p>
            <w:pPr>
              <w:spacing w:line="240" w:lineRule="auto"/>
              <w:jc w:val="center"/>
              <w:rPr>
                <w:rFonts w:hint="eastAsia" w:ascii="Times New Roman" w:hAnsi="Times New Roman" w:cs="Times New Roman"/>
                <w:sz w:val="18"/>
                <w:szCs w:val="18"/>
              </w:rPr>
            </w:pPr>
            <w:r>
              <w:rPr>
                <w:rFonts w:hint="eastAsia" w:ascii="Times New Roman" w:hAnsi="Times New Roman" w:cs="Times New Roman"/>
                <w:sz w:val="18"/>
                <w:szCs w:val="18"/>
                <w:lang w:val="en-US" w:eastAsia="zh-CN"/>
              </w:rPr>
              <w:t>压力疗法</w:t>
            </w:r>
          </w:p>
        </w:tc>
        <w:tc>
          <w:tcPr>
            <w:tcW w:w="2700" w:type="dxa"/>
            <w:shd w:val="clear" w:color="auto" w:fill="auto"/>
            <w:noWrap w:val="0"/>
            <w:vAlign w:val="center"/>
          </w:tcPr>
          <w:p>
            <w:pPr>
              <w:numPr>
                <w:ilvl w:val="0"/>
                <w:numId w:val="17"/>
              </w:numPr>
              <w:spacing w:line="240" w:lineRule="auto"/>
              <w:jc w:val="left"/>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树立消防安全意识，提升安全防范能力</w:t>
            </w:r>
          </w:p>
          <w:p>
            <w:pPr>
              <w:numPr>
                <w:ilvl w:val="0"/>
                <w:numId w:val="17"/>
              </w:numPr>
              <w:spacing w:line="240" w:lineRule="auto"/>
              <w:jc w:val="left"/>
              <w:rPr>
                <w:rFonts w:hint="eastAsia" w:ascii="Times New Roman" w:hAnsi="Times New Roman" w:cs="Times New Roman"/>
                <w:sz w:val="18"/>
                <w:szCs w:val="18"/>
                <w:lang w:val="en-US" w:eastAsia="zh-CN"/>
              </w:rPr>
            </w:pPr>
            <w:r>
              <w:rPr>
                <w:rFonts w:hint="eastAsia" w:cs="Times New Roman"/>
                <w:sz w:val="18"/>
                <w:szCs w:val="18"/>
                <w:lang w:val="en-US" w:eastAsia="zh-CN"/>
              </w:rPr>
              <w:t>升华专业思维，激发社会责任感</w:t>
            </w:r>
          </w:p>
        </w:tc>
        <w:tc>
          <w:tcPr>
            <w:tcW w:w="3508" w:type="dxa"/>
            <w:shd w:val="clear" w:color="auto" w:fill="auto"/>
            <w:noWrap w:val="0"/>
            <w:vAlign w:val="center"/>
          </w:tcPr>
          <w:p>
            <w:pPr>
              <w:numPr>
                <w:ilvl w:val="0"/>
                <w:numId w:val="18"/>
              </w:numPr>
              <w:spacing w:line="240" w:lineRule="auto"/>
              <w:jc w:val="left"/>
              <w:rPr>
                <w:rFonts w:hint="eastAsia" w:ascii="Times New Roman" w:hAnsi="Times New Roman" w:cs="Times New Roman"/>
                <w:sz w:val="18"/>
                <w:szCs w:val="18"/>
                <w:lang w:val="en-US" w:eastAsia="zh-CN"/>
              </w:rPr>
            </w:pPr>
            <w:r>
              <w:rPr>
                <w:rFonts w:hint="eastAsia" w:cs="Times New Roman"/>
                <w:sz w:val="18"/>
                <w:szCs w:val="18"/>
                <w:lang w:val="en-US" w:eastAsia="zh-CN"/>
              </w:rPr>
              <w:t>依据</w:t>
            </w:r>
            <w:r>
              <w:rPr>
                <w:rFonts w:hint="eastAsia" w:ascii="Times New Roman" w:hAnsi="Times New Roman" w:cs="Times New Roman"/>
                <w:sz w:val="18"/>
                <w:szCs w:val="18"/>
                <w:lang w:val="en-US" w:eastAsia="zh-CN"/>
              </w:rPr>
              <w:t>烧伤案例</w:t>
            </w:r>
            <w:r>
              <w:rPr>
                <w:rFonts w:hint="eastAsia" w:cs="Times New Roman"/>
                <w:sz w:val="18"/>
                <w:szCs w:val="18"/>
                <w:lang w:val="en-US" w:eastAsia="zh-CN"/>
              </w:rPr>
              <w:t>展开</w:t>
            </w:r>
            <w:r>
              <w:rPr>
                <w:rFonts w:hint="eastAsia" w:ascii="Times New Roman" w:hAnsi="Times New Roman" w:cs="Times New Roman"/>
                <w:sz w:val="18"/>
                <w:szCs w:val="18"/>
                <w:lang w:val="en-US" w:eastAsia="zh-CN"/>
              </w:rPr>
              <w:t>压力治疗</w:t>
            </w:r>
            <w:r>
              <w:rPr>
                <w:rFonts w:hint="eastAsia" w:cs="Times New Roman"/>
                <w:sz w:val="18"/>
                <w:szCs w:val="18"/>
                <w:lang w:val="en-US" w:eastAsia="zh-CN"/>
              </w:rPr>
              <w:t>临床应用学习</w:t>
            </w:r>
            <w:r>
              <w:rPr>
                <w:rFonts w:hint="eastAsia" w:ascii="Times New Roman" w:hAnsi="Times New Roman" w:cs="Times New Roman"/>
                <w:sz w:val="18"/>
                <w:szCs w:val="18"/>
                <w:lang w:val="en-US" w:eastAsia="zh-CN"/>
              </w:rPr>
              <w:t>，以真实事件作为警示，进行消防安全教育</w:t>
            </w:r>
          </w:p>
          <w:p>
            <w:pPr>
              <w:numPr>
                <w:ilvl w:val="0"/>
                <w:numId w:val="18"/>
              </w:numPr>
              <w:spacing w:line="240" w:lineRule="auto"/>
              <w:jc w:val="left"/>
              <w:rPr>
                <w:rFonts w:hint="eastAsia" w:ascii="Times New Roman" w:hAnsi="Times New Roman" w:cs="Times New Roman"/>
                <w:sz w:val="18"/>
                <w:szCs w:val="18"/>
                <w:lang w:val="en-US" w:eastAsia="zh-CN"/>
              </w:rPr>
            </w:pPr>
            <w:r>
              <w:rPr>
                <w:rFonts w:hint="eastAsia" w:cs="Times New Roman"/>
                <w:sz w:val="18"/>
                <w:szCs w:val="18"/>
                <w:lang w:val="en-US" w:eastAsia="zh-CN"/>
              </w:rPr>
              <w:t>结合皮肤表面加压疗法对截肢残端的疗效，强调残障预防工作重要性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shd w:val="clear" w:color="auto" w:fill="auto"/>
            <w:noWrap w:val="0"/>
            <w:vAlign w:val="center"/>
          </w:tcPr>
          <w:p>
            <w:pPr>
              <w:spacing w:line="240" w:lineRule="auto"/>
              <w:jc w:val="center"/>
              <w:rPr>
                <w:rFonts w:hint="eastAsia" w:eastAsia="宋体"/>
                <w:sz w:val="18"/>
                <w:szCs w:val="18"/>
                <w:lang w:val="en-US" w:eastAsia="zh-CN"/>
              </w:rPr>
            </w:pPr>
            <w:r>
              <w:rPr>
                <w:rFonts w:hint="eastAsia"/>
                <w:sz w:val="18"/>
                <w:szCs w:val="18"/>
                <w:lang w:val="en-US" w:eastAsia="zh-CN"/>
              </w:rPr>
              <w:t>10</w:t>
            </w:r>
          </w:p>
        </w:tc>
        <w:tc>
          <w:tcPr>
            <w:tcW w:w="1352" w:type="dxa"/>
            <w:shd w:val="clear" w:color="auto" w:fill="auto"/>
            <w:noWrap w:val="0"/>
            <w:vAlign w:val="center"/>
          </w:tcPr>
          <w:p>
            <w:pPr>
              <w:spacing w:line="240" w:lineRule="auto"/>
              <w:jc w:val="center"/>
              <w:rPr>
                <w:rFonts w:hint="eastAsia" w:ascii="Times New Roman" w:hAnsi="Times New Roman" w:cs="Times New Roman"/>
                <w:sz w:val="18"/>
                <w:szCs w:val="18"/>
              </w:rPr>
            </w:pPr>
            <w:r>
              <w:rPr>
                <w:rFonts w:hint="eastAsia" w:ascii="Times New Roman" w:hAnsi="Times New Roman" w:cs="Times New Roman"/>
                <w:sz w:val="18"/>
                <w:szCs w:val="18"/>
                <w:lang w:val="en-US" w:eastAsia="zh-CN"/>
              </w:rPr>
              <w:t>生物反馈疗法</w:t>
            </w:r>
          </w:p>
        </w:tc>
        <w:tc>
          <w:tcPr>
            <w:tcW w:w="2700" w:type="dxa"/>
            <w:shd w:val="clear" w:color="auto" w:fill="auto"/>
            <w:noWrap w:val="0"/>
            <w:vAlign w:val="center"/>
          </w:tcPr>
          <w:p>
            <w:pPr>
              <w:numPr>
                <w:ilvl w:val="0"/>
                <w:numId w:val="19"/>
              </w:numPr>
              <w:spacing w:line="240" w:lineRule="auto"/>
              <w:jc w:val="left"/>
              <w:rPr>
                <w:rFonts w:hint="eastAsia" w:cs="Times New Roman"/>
                <w:sz w:val="18"/>
                <w:szCs w:val="18"/>
                <w:lang w:val="en-US" w:eastAsia="zh-CN"/>
              </w:rPr>
            </w:pPr>
            <w:r>
              <w:rPr>
                <w:rFonts w:hint="eastAsia" w:cs="Times New Roman"/>
                <w:sz w:val="18"/>
                <w:szCs w:val="18"/>
                <w:lang w:val="en-US" w:eastAsia="zh-CN"/>
              </w:rPr>
              <w:t>引导</w:t>
            </w:r>
            <w:r>
              <w:rPr>
                <w:rFonts w:hint="eastAsia" w:ascii="Times New Roman" w:hAnsi="Times New Roman" w:cs="Times New Roman"/>
                <w:sz w:val="18"/>
                <w:szCs w:val="18"/>
                <w:lang w:val="en-US" w:eastAsia="zh-CN"/>
              </w:rPr>
              <w:t>正确的情绪认知，</w:t>
            </w:r>
            <w:r>
              <w:rPr>
                <w:rFonts w:hint="eastAsia" w:cs="Times New Roman"/>
                <w:sz w:val="18"/>
                <w:szCs w:val="18"/>
                <w:lang w:val="en-US" w:eastAsia="zh-CN"/>
              </w:rPr>
              <w:t>激发自主积极性</w:t>
            </w:r>
          </w:p>
          <w:p>
            <w:pPr>
              <w:numPr>
                <w:ilvl w:val="0"/>
                <w:numId w:val="19"/>
              </w:numPr>
              <w:spacing w:line="240" w:lineRule="auto"/>
              <w:jc w:val="left"/>
              <w:rPr>
                <w:rFonts w:hint="eastAsia" w:cs="Times New Roman"/>
                <w:sz w:val="18"/>
                <w:szCs w:val="18"/>
                <w:lang w:val="en-US" w:eastAsia="zh-CN"/>
              </w:rPr>
            </w:pPr>
            <w:r>
              <w:rPr>
                <w:rFonts w:hint="eastAsia" w:cs="Times New Roman"/>
                <w:sz w:val="18"/>
                <w:szCs w:val="18"/>
                <w:lang w:val="en-US" w:eastAsia="zh-CN"/>
              </w:rPr>
              <w:t>强化文化自信，明确民族传承担当</w:t>
            </w:r>
          </w:p>
        </w:tc>
        <w:tc>
          <w:tcPr>
            <w:tcW w:w="3508" w:type="dxa"/>
            <w:shd w:val="clear" w:color="auto" w:fill="auto"/>
            <w:noWrap w:val="0"/>
            <w:vAlign w:val="center"/>
          </w:tcPr>
          <w:p>
            <w:pPr>
              <w:numPr>
                <w:ilvl w:val="0"/>
                <w:numId w:val="20"/>
              </w:numPr>
              <w:spacing w:line="240" w:lineRule="auto"/>
              <w:jc w:val="left"/>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明确主观能动性在生物反馈疗法中的作用，分析情绪对心身健康的影响</w:t>
            </w:r>
          </w:p>
          <w:p>
            <w:pPr>
              <w:numPr>
                <w:ilvl w:val="0"/>
                <w:numId w:val="20"/>
              </w:numPr>
              <w:spacing w:line="240" w:lineRule="auto"/>
              <w:jc w:val="left"/>
              <w:rPr>
                <w:rFonts w:hint="eastAsia" w:ascii="Times New Roman" w:hAnsi="Times New Roman" w:cs="Times New Roman"/>
                <w:sz w:val="18"/>
                <w:szCs w:val="18"/>
                <w:lang w:val="en-US" w:eastAsia="zh-CN"/>
              </w:rPr>
            </w:pPr>
            <w:r>
              <w:rPr>
                <w:rFonts w:hint="eastAsia" w:cs="Times New Roman"/>
                <w:sz w:val="18"/>
                <w:szCs w:val="18"/>
                <w:lang w:val="en-US" w:eastAsia="zh-CN"/>
              </w:rPr>
              <w:t>认识中医气功疗法，体会我国传统医学对人文意识的先驱式研究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shd w:val="clear" w:color="auto" w:fill="auto"/>
            <w:noWrap w:val="0"/>
            <w:vAlign w:val="center"/>
          </w:tcPr>
          <w:p>
            <w:pPr>
              <w:spacing w:line="240" w:lineRule="auto"/>
              <w:jc w:val="center"/>
              <w:rPr>
                <w:rFonts w:hint="default" w:eastAsia="宋体"/>
                <w:sz w:val="18"/>
                <w:szCs w:val="18"/>
                <w:lang w:val="en-US" w:eastAsia="zh-CN"/>
              </w:rPr>
            </w:pPr>
            <w:r>
              <w:rPr>
                <w:rFonts w:hint="eastAsia"/>
                <w:sz w:val="18"/>
                <w:szCs w:val="18"/>
                <w:lang w:val="en-US" w:eastAsia="zh-CN"/>
              </w:rPr>
              <w:t>11</w:t>
            </w:r>
          </w:p>
        </w:tc>
        <w:tc>
          <w:tcPr>
            <w:tcW w:w="1352" w:type="dxa"/>
            <w:shd w:val="clear" w:color="auto" w:fill="auto"/>
            <w:noWrap w:val="0"/>
            <w:vAlign w:val="center"/>
          </w:tcPr>
          <w:p>
            <w:pPr>
              <w:spacing w:line="240" w:lineRule="auto"/>
              <w:jc w:val="center"/>
              <w:rPr>
                <w:rFonts w:hint="eastAsia" w:ascii="Times New Roman" w:hAnsi="Times New Roman" w:cs="Times New Roman"/>
                <w:sz w:val="18"/>
                <w:szCs w:val="18"/>
              </w:rPr>
            </w:pPr>
            <w:r>
              <w:rPr>
                <w:rFonts w:hint="eastAsia" w:ascii="Times New Roman" w:hAnsi="Times New Roman" w:cs="Times New Roman"/>
                <w:sz w:val="18"/>
                <w:szCs w:val="18"/>
                <w:lang w:val="en-US" w:eastAsia="zh-CN"/>
              </w:rPr>
              <w:t>自然疗法</w:t>
            </w:r>
          </w:p>
        </w:tc>
        <w:tc>
          <w:tcPr>
            <w:tcW w:w="2700" w:type="dxa"/>
            <w:shd w:val="clear" w:color="auto" w:fill="auto"/>
            <w:noWrap w:val="0"/>
            <w:vAlign w:val="center"/>
          </w:tcPr>
          <w:p>
            <w:pPr>
              <w:numPr>
                <w:ilvl w:val="0"/>
                <w:numId w:val="21"/>
              </w:numPr>
              <w:spacing w:line="240" w:lineRule="auto"/>
              <w:jc w:val="left"/>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培养生态文明意识，倡导人与自然和谐共处</w:t>
            </w:r>
          </w:p>
          <w:p>
            <w:pPr>
              <w:numPr>
                <w:ilvl w:val="0"/>
                <w:numId w:val="21"/>
              </w:numPr>
              <w:spacing w:line="240" w:lineRule="auto"/>
              <w:jc w:val="left"/>
              <w:rPr>
                <w:rFonts w:hint="eastAsia" w:ascii="Times New Roman" w:hAnsi="Times New Roman" w:cs="Times New Roman"/>
                <w:sz w:val="18"/>
                <w:szCs w:val="18"/>
                <w:lang w:val="en-US" w:eastAsia="zh-CN"/>
              </w:rPr>
            </w:pPr>
            <w:r>
              <w:rPr>
                <w:rFonts w:hint="eastAsia" w:cs="Times New Roman"/>
                <w:sz w:val="18"/>
                <w:szCs w:val="18"/>
                <w:lang w:val="en-US" w:eastAsia="zh-CN"/>
              </w:rPr>
              <w:t>培养国际视野，强化制度自信</w:t>
            </w:r>
          </w:p>
        </w:tc>
        <w:tc>
          <w:tcPr>
            <w:tcW w:w="3508" w:type="dxa"/>
            <w:shd w:val="clear" w:color="auto" w:fill="auto"/>
            <w:noWrap w:val="0"/>
            <w:vAlign w:val="center"/>
          </w:tcPr>
          <w:p>
            <w:pPr>
              <w:numPr>
                <w:ilvl w:val="0"/>
                <w:numId w:val="22"/>
              </w:numPr>
              <w:spacing w:line="240" w:lineRule="auto"/>
              <w:jc w:val="left"/>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探讨自然疗法起源，分析生态环境在自然疗法中的决定地位</w:t>
            </w:r>
          </w:p>
          <w:p>
            <w:pPr>
              <w:numPr>
                <w:ilvl w:val="0"/>
                <w:numId w:val="22"/>
              </w:numPr>
              <w:spacing w:line="240" w:lineRule="auto"/>
              <w:jc w:val="left"/>
              <w:rPr>
                <w:rFonts w:hint="eastAsia" w:ascii="Times New Roman" w:hAnsi="Times New Roman" w:cs="Times New Roman"/>
                <w:sz w:val="18"/>
                <w:szCs w:val="18"/>
                <w:lang w:val="en-US" w:eastAsia="zh-CN"/>
              </w:rPr>
            </w:pPr>
            <w:r>
              <w:rPr>
                <w:rFonts w:hint="eastAsia" w:cs="Times New Roman"/>
                <w:sz w:val="18"/>
                <w:szCs w:val="18"/>
                <w:lang w:val="en-US" w:eastAsia="zh-CN"/>
              </w:rPr>
              <w:t>列举我国</w:t>
            </w:r>
            <w:r>
              <w:rPr>
                <w:rFonts w:hint="eastAsia" w:ascii="Times New Roman" w:hAnsi="Times New Roman" w:cs="Times New Roman"/>
                <w:sz w:val="18"/>
                <w:szCs w:val="18"/>
                <w:lang w:val="en-US" w:eastAsia="zh-CN"/>
              </w:rPr>
              <w:t>自然疗法</w:t>
            </w:r>
            <w:r>
              <w:rPr>
                <w:rFonts w:hint="eastAsia" w:cs="Times New Roman"/>
                <w:sz w:val="18"/>
                <w:szCs w:val="18"/>
                <w:lang w:val="en-US" w:eastAsia="zh-CN"/>
              </w:rPr>
              <w:t>资源，探索宁德时代践行中国绿色低碳发展事业的历程</w:t>
            </w:r>
          </w:p>
        </w:tc>
      </w:tr>
    </w:tbl>
    <w:p>
      <w:pPr>
        <w:numPr>
          <w:ilvl w:val="0"/>
          <w:numId w:val="1"/>
        </w:numPr>
        <w:spacing w:line="400" w:lineRule="exact"/>
        <w:ind w:firstLine="480" w:firstLineChars="200"/>
        <w:rPr>
          <w:rFonts w:hint="eastAsia" w:ascii="黑体" w:eastAsia="黑体"/>
          <w:sz w:val="24"/>
        </w:rPr>
      </w:pPr>
      <w:r>
        <w:rPr>
          <w:rFonts w:hint="eastAsia" w:ascii="黑体" w:eastAsia="黑体"/>
          <w:sz w:val="24"/>
        </w:rPr>
        <w:t>课程思政教学实施过程———以“</w:t>
      </w:r>
      <w:r>
        <w:rPr>
          <w:rFonts w:hint="eastAsia" w:ascii="黑体" w:eastAsia="黑体"/>
          <w:sz w:val="24"/>
          <w:lang w:val="en-US" w:eastAsia="zh-CN"/>
        </w:rPr>
        <w:t>自然疗法</w:t>
      </w:r>
      <w:r>
        <w:rPr>
          <w:rFonts w:hint="eastAsia" w:ascii="黑体" w:eastAsia="黑体"/>
          <w:sz w:val="24"/>
        </w:rPr>
        <w:t>”为例</w:t>
      </w:r>
    </w:p>
    <w:p>
      <w:pPr>
        <w:numPr>
          <w:ilvl w:val="0"/>
          <w:numId w:val="23"/>
        </w:numPr>
        <w:spacing w:line="400" w:lineRule="exact"/>
        <w:ind w:firstLine="422" w:firstLineChars="200"/>
        <w:rPr>
          <w:rFonts w:hint="eastAsia"/>
          <w:b/>
        </w:rPr>
      </w:pPr>
      <w:r>
        <w:rPr>
          <w:rFonts w:hint="eastAsia"/>
          <w:b/>
        </w:rPr>
        <w:t>课前预习</w:t>
      </w:r>
    </w:p>
    <w:p>
      <w:pPr>
        <w:keepNext w:val="0"/>
        <w:keepLines w:val="0"/>
        <w:widowControl/>
        <w:suppressLineNumbers w:val="0"/>
        <w:ind w:firstLine="420" w:firstLineChars="200"/>
        <w:jc w:val="left"/>
        <w:rPr>
          <w:rFonts w:hint="default"/>
          <w:b/>
          <w:lang w:val="en-US"/>
        </w:rPr>
      </w:pPr>
      <w:r>
        <w:rPr>
          <w:rFonts w:hint="eastAsia"/>
          <w:lang w:val="en-US" w:eastAsia="zh-CN"/>
        </w:rPr>
        <w:t>课前，教师在线上教学平台发布预习任务清单及教学课件、微课视频等相关教学资源，布置“制作物理因子治疗技术课程总体思维导图”的分组预习作业；学生登录教学平台，查看任务并发挥主观能动性开展分组预习活动，绘制思维导图并</w:t>
      </w:r>
      <w:r>
        <w:rPr>
          <w:rFonts w:hint="eastAsia" w:ascii="宋体" w:hAnsi="宋体" w:eastAsia="宋体" w:cs="宋体"/>
          <w:color w:val="000000"/>
          <w:kern w:val="0"/>
          <w:sz w:val="20"/>
          <w:szCs w:val="20"/>
          <w:lang w:val="en-US" w:eastAsia="zh-CN" w:bidi="ar"/>
        </w:rPr>
        <w:t>上传至学习平台</w:t>
      </w:r>
      <w:r>
        <w:rPr>
          <w:rFonts w:hint="eastAsia" w:ascii="宋体" w:hAnsi="宋体" w:cs="宋体"/>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参与</w:t>
      </w:r>
      <w:r>
        <w:rPr>
          <w:rFonts w:hint="eastAsia" w:ascii="宋体" w:hAnsi="宋体" w:cs="宋体"/>
          <w:color w:val="000000"/>
          <w:kern w:val="0"/>
          <w:sz w:val="20"/>
          <w:szCs w:val="20"/>
          <w:lang w:val="en-US" w:eastAsia="zh-CN" w:bidi="ar"/>
        </w:rPr>
        <w:t>组</w:t>
      </w:r>
      <w:r>
        <w:rPr>
          <w:rFonts w:hint="eastAsia" w:ascii="宋体" w:hAnsi="宋体" w:eastAsia="宋体" w:cs="宋体"/>
          <w:color w:val="000000"/>
          <w:kern w:val="0"/>
          <w:sz w:val="20"/>
          <w:szCs w:val="20"/>
          <w:lang w:val="en-US" w:eastAsia="zh-CN" w:bidi="ar"/>
        </w:rPr>
        <w:t>间互评，</w:t>
      </w:r>
      <w:r>
        <w:rPr>
          <w:rFonts w:hint="eastAsia" w:ascii="宋体" w:hAnsi="宋体" w:cs="宋体"/>
          <w:color w:val="000000"/>
          <w:kern w:val="0"/>
          <w:sz w:val="20"/>
          <w:szCs w:val="20"/>
          <w:lang w:val="en-US" w:eastAsia="zh-CN" w:bidi="ar"/>
        </w:rPr>
        <w:t>运用任务驱动的方式</w:t>
      </w:r>
      <w:r>
        <w:rPr>
          <w:rFonts w:hint="eastAsia" w:ascii="宋体" w:hAnsi="宋体" w:eastAsia="宋体" w:cs="宋体"/>
          <w:color w:val="000000"/>
          <w:kern w:val="0"/>
          <w:sz w:val="20"/>
          <w:szCs w:val="20"/>
          <w:lang w:val="en-US" w:eastAsia="zh-CN" w:bidi="ar"/>
        </w:rPr>
        <w:t>提升系统化分析能力及协作能力</w:t>
      </w:r>
      <w:r>
        <w:rPr>
          <w:rFonts w:hint="eastAsia" w:ascii="宋体" w:hAnsi="宋体" w:cs="宋体"/>
          <w:color w:val="000000"/>
          <w:kern w:val="0"/>
          <w:sz w:val="20"/>
          <w:szCs w:val="20"/>
          <w:lang w:val="en-US" w:eastAsia="zh-CN" w:bidi="ar"/>
        </w:rPr>
        <w:t>。</w:t>
      </w:r>
    </w:p>
    <w:p>
      <w:pPr>
        <w:numPr>
          <w:ilvl w:val="0"/>
          <w:numId w:val="23"/>
        </w:numPr>
        <w:spacing w:line="400" w:lineRule="exact"/>
        <w:ind w:firstLine="422" w:firstLineChars="200"/>
        <w:rPr>
          <w:rFonts w:hint="eastAsia"/>
          <w:b/>
        </w:rPr>
      </w:pPr>
      <w:r>
        <w:rPr>
          <w:rFonts w:hint="eastAsia"/>
          <w:b/>
        </w:rPr>
        <w:t>课堂实施</w:t>
      </w:r>
    </w:p>
    <w:p>
      <w:pPr>
        <w:numPr>
          <w:ilvl w:val="0"/>
          <w:numId w:val="24"/>
        </w:numPr>
        <w:spacing w:line="400" w:lineRule="exact"/>
        <w:ind w:left="0" w:leftChars="0" w:firstLine="420" w:firstLineChars="0"/>
        <w:rPr>
          <w:rFonts w:hint="eastAsia"/>
          <w:lang w:val="en-US" w:eastAsia="zh-CN"/>
        </w:rPr>
      </w:pPr>
      <w:r>
        <w:rPr>
          <w:rFonts w:hint="eastAsia"/>
          <w:lang w:val="en-US" w:eastAsia="zh-CN"/>
        </w:rPr>
        <w:t>导入  衔接课前预习任务，展示优秀思维导图作品，邀请对应小组成员上台讲解，营造学生间的良性竞争氛围、形成榜样借鉴式学习引导；教师对课前预习情况进行总结式评价，梳理课程知识体系，完善知识体系；引导学生回顾《第一章 概述》知识，明确物理因子治疗技术分类包含前期章节教学内容人工物理因子治疗技术与自然疗法，以此引出本章教学内容、激发学生学习动力以完成新课导入。</w:t>
      </w:r>
    </w:p>
    <w:p>
      <w:pPr>
        <w:numPr>
          <w:ilvl w:val="0"/>
          <w:numId w:val="24"/>
        </w:numPr>
        <w:spacing w:line="400" w:lineRule="exact"/>
        <w:ind w:left="0" w:leftChars="0" w:firstLine="420" w:firstLineChars="0"/>
        <w:rPr>
          <w:rFonts w:hint="default"/>
          <w:lang w:val="en-US" w:eastAsia="zh-CN"/>
        </w:rPr>
      </w:pPr>
      <w:r>
        <w:rPr>
          <w:rFonts w:hint="default"/>
          <w:lang w:val="en-US" w:eastAsia="zh-CN"/>
        </w:rPr>
        <w:t>课中</w:t>
      </w:r>
    </w:p>
    <w:p>
      <w:pPr>
        <w:numPr>
          <w:ilvl w:val="0"/>
          <w:numId w:val="25"/>
        </w:numPr>
        <w:spacing w:line="400" w:lineRule="exact"/>
        <w:ind w:firstLine="420" w:firstLineChars="200"/>
        <w:rPr>
          <w:rFonts w:hint="eastAsia"/>
          <w:highlight w:val="none"/>
          <w:lang w:val="en-US" w:eastAsia="zh-CN"/>
        </w:rPr>
      </w:pPr>
      <w:r>
        <w:rPr>
          <w:rFonts w:hint="eastAsia"/>
          <w:lang w:val="en-US" w:eastAsia="zh-CN"/>
        </w:rPr>
        <w:t>解剖教学重点“自然疗法的概念”，从中提取知识点“自然疗法的技术来源”及“自然疗法的作用原理”进行分别讲授；图片演示各类自然物理因子，引导学生运用科学积累分析自然疗法的作用原理，完成教学平台探讨题“人类社会发展与自然环境维护的平衡关系处理对自然疗法发挥的影响”以</w:t>
      </w:r>
      <w:r>
        <w:rPr>
          <w:rFonts w:hint="eastAsia" w:cstheme="minorBidi"/>
          <w:b w:val="0"/>
          <w:bCs w:val="0"/>
          <w:kern w:val="2"/>
          <w:sz w:val="21"/>
          <w:szCs w:val="24"/>
          <w:highlight w:val="none"/>
          <w:lang w:val="en-US" w:eastAsia="zh-CN" w:bidi="ar-SA"/>
        </w:rPr>
        <w:t>锤炼学生挖掘事物背后关联性规律的能力；</w:t>
      </w:r>
      <w:r>
        <w:rPr>
          <w:rFonts w:hint="eastAsia"/>
          <w:lang w:val="en-US" w:eastAsia="zh-CN"/>
        </w:rPr>
        <w:t>借助理解自然疗法的概念，强调生态环境在自然疗法中的决定地位，提升学生的生态意识，并引导学生形成事物规律认识中的全局观念。</w:t>
      </w:r>
    </w:p>
    <w:p>
      <w:pPr>
        <w:numPr>
          <w:ilvl w:val="0"/>
          <w:numId w:val="25"/>
        </w:numPr>
        <w:spacing w:line="400" w:lineRule="exact"/>
        <w:ind w:firstLine="420" w:firstLineChars="200"/>
        <w:rPr>
          <w:rFonts w:hint="default"/>
          <w:highlight w:val="none"/>
          <w:lang w:val="en-US" w:eastAsia="zh-CN"/>
        </w:rPr>
      </w:pPr>
      <w:r>
        <w:rPr>
          <w:rFonts w:hint="default"/>
          <w:highlight w:val="none"/>
          <w:lang w:val="en-US" w:eastAsia="zh-CN"/>
        </w:rPr>
        <w:t>视频演示我国自然物理因子资源</w:t>
      </w:r>
      <w:r>
        <w:rPr>
          <w:rFonts w:hint="eastAsia"/>
          <w:highlight w:val="none"/>
          <w:lang w:val="en-US" w:eastAsia="zh-CN"/>
        </w:rPr>
        <w:t>，</w:t>
      </w:r>
      <w:r>
        <w:rPr>
          <w:rFonts w:hint="eastAsia"/>
          <w:lang w:val="en-US" w:eastAsia="zh-CN"/>
        </w:rPr>
        <w:t>引用中国资源情况表具象填充学生对</w:t>
      </w:r>
      <w:r>
        <w:rPr>
          <w:rFonts w:hint="eastAsia"/>
          <w:highlight w:val="none"/>
          <w:lang w:val="en-US" w:eastAsia="zh-CN"/>
        </w:rPr>
        <w:t>自然物理因子</w:t>
      </w:r>
      <w:r>
        <w:rPr>
          <w:rFonts w:hint="default"/>
          <w:highlight w:val="none"/>
          <w:lang w:val="en-US" w:eastAsia="zh-CN"/>
        </w:rPr>
        <w:t>分类</w:t>
      </w:r>
      <w:r>
        <w:rPr>
          <w:rFonts w:hint="eastAsia"/>
          <w:highlight w:val="none"/>
          <w:lang w:val="en-US" w:eastAsia="zh-CN"/>
        </w:rPr>
        <w:t>的抽象认识，追溯我国自然物理因子来源丰饶的背后是</w:t>
      </w:r>
      <w:r>
        <w:rPr>
          <w:rFonts w:hint="eastAsia" w:cstheme="minorBidi"/>
          <w:b w:val="0"/>
          <w:bCs w:val="0"/>
          <w:kern w:val="2"/>
          <w:sz w:val="21"/>
          <w:szCs w:val="24"/>
          <w:highlight w:val="none"/>
          <w:lang w:val="en-US" w:eastAsia="zh-CN" w:bidi="ar-SA"/>
        </w:rPr>
        <w:t>把生态文明建设作为关系中华民族永续发展的根本大计，感知社会主义生态文明这一中国特色制度优势，强化国家情感、政策认同与民族自豪情怀。</w:t>
      </w:r>
    </w:p>
    <w:p>
      <w:pPr>
        <w:numPr>
          <w:ilvl w:val="0"/>
          <w:numId w:val="25"/>
        </w:numPr>
        <w:spacing w:line="400" w:lineRule="exact"/>
        <w:ind w:firstLine="420" w:firstLineChars="200"/>
        <w:rPr>
          <w:rFonts w:hint="default"/>
          <w:highlight w:val="none"/>
          <w:lang w:val="en-US" w:eastAsia="zh-CN"/>
        </w:rPr>
      </w:pPr>
      <w:r>
        <w:rPr>
          <w:rFonts w:hint="eastAsia"/>
          <w:highlight w:val="none"/>
          <w:lang w:val="en-US" w:eastAsia="zh-CN"/>
        </w:rPr>
        <w:t>视频</w:t>
      </w:r>
      <w:r>
        <w:rPr>
          <w:rFonts w:hint="default"/>
          <w:highlight w:val="none"/>
          <w:lang w:val="en-US" w:eastAsia="zh-CN"/>
        </w:rPr>
        <w:t>演示常用自然疗法治疗技术，</w:t>
      </w:r>
      <w:r>
        <w:rPr>
          <w:rFonts w:hint="eastAsia"/>
          <w:highlight w:val="none"/>
          <w:lang w:val="en-US" w:eastAsia="zh-CN"/>
        </w:rPr>
        <w:t>讲解相应</w:t>
      </w:r>
      <w:r>
        <w:rPr>
          <w:rFonts w:hint="default"/>
          <w:highlight w:val="none"/>
          <w:lang w:val="en-US" w:eastAsia="zh-CN"/>
        </w:rPr>
        <w:t>操作</w:t>
      </w:r>
      <w:r>
        <w:rPr>
          <w:rFonts w:hint="eastAsia"/>
          <w:highlight w:val="none"/>
          <w:lang w:val="en-US" w:eastAsia="zh-CN"/>
        </w:rPr>
        <w:t>要点，初步形成实训技能理论认知；结合乌梁素海水质治理案例，对比乌梁素海治理前几近干涸和治理后负担京津风沙控制的生态意义，强调</w:t>
      </w:r>
      <w:r>
        <w:rPr>
          <w:rFonts w:hint="default"/>
          <w:highlight w:val="none"/>
          <w:lang w:val="en-US" w:eastAsia="zh-CN"/>
        </w:rPr>
        <w:t>自然疗法</w:t>
      </w:r>
      <w:r>
        <w:rPr>
          <w:rFonts w:hint="eastAsia"/>
          <w:highlight w:val="none"/>
          <w:lang w:val="en-US" w:eastAsia="zh-CN"/>
        </w:rPr>
        <w:t>操作时的</w:t>
      </w:r>
      <w:r>
        <w:rPr>
          <w:rFonts w:hint="default"/>
          <w:highlight w:val="none"/>
          <w:lang w:val="en-US" w:eastAsia="zh-CN"/>
        </w:rPr>
        <w:t>技术规范</w:t>
      </w:r>
      <w:r>
        <w:rPr>
          <w:rFonts w:hint="eastAsia"/>
          <w:highlight w:val="none"/>
          <w:lang w:val="en-US" w:eastAsia="zh-CN"/>
        </w:rPr>
        <w:t>、将资源节约与再利用最大化，</w:t>
      </w:r>
      <w:r>
        <w:rPr>
          <w:rFonts w:hint="default"/>
          <w:highlight w:val="none"/>
          <w:lang w:val="en-US" w:eastAsia="zh-CN"/>
        </w:rPr>
        <w:t>培养可持续发展眼光</w:t>
      </w:r>
      <w:r>
        <w:rPr>
          <w:rFonts w:hint="eastAsia"/>
          <w:highlight w:val="none"/>
          <w:lang w:val="en-US" w:eastAsia="zh-CN"/>
        </w:rPr>
        <w:t>并</w:t>
      </w:r>
      <w:r>
        <w:rPr>
          <w:rFonts w:hint="default"/>
          <w:highlight w:val="none"/>
          <w:lang w:val="en-US" w:eastAsia="zh-CN"/>
        </w:rPr>
        <w:t>巩固生态文明意识</w:t>
      </w:r>
      <w:r>
        <w:rPr>
          <w:rFonts w:hint="eastAsia"/>
          <w:highlight w:val="none"/>
          <w:lang w:val="en-US" w:eastAsia="zh-CN"/>
        </w:rPr>
        <w:t>。</w:t>
      </w:r>
    </w:p>
    <w:p>
      <w:pPr>
        <w:numPr>
          <w:ilvl w:val="0"/>
          <w:numId w:val="24"/>
        </w:numPr>
        <w:spacing w:line="400" w:lineRule="exact"/>
        <w:ind w:left="0" w:leftChars="0" w:firstLine="420" w:firstLineChars="0"/>
        <w:rPr>
          <w:rFonts w:hint="eastAsia"/>
          <w:b/>
        </w:rPr>
      </w:pPr>
      <w:r>
        <w:rPr>
          <w:rFonts w:hint="eastAsia"/>
          <w:lang w:val="en-US" w:eastAsia="zh-CN"/>
        </w:rPr>
        <w:t xml:space="preserve">小结  </w:t>
      </w:r>
      <w:r>
        <w:rPr>
          <w:rFonts w:hint="eastAsia"/>
          <w:highlight w:val="none"/>
          <w:lang w:val="en-US" w:eastAsia="zh-CN"/>
        </w:rPr>
        <w:t>梳理</w:t>
      </w:r>
      <w:r>
        <w:rPr>
          <w:rFonts w:hint="default"/>
          <w:highlight w:val="none"/>
          <w:lang w:val="en-US" w:eastAsia="zh-CN"/>
        </w:rPr>
        <w:t>课堂知识，总结自然疗法的特点，明确生态环境</w:t>
      </w:r>
      <w:r>
        <w:rPr>
          <w:rFonts w:hint="eastAsia"/>
          <w:highlight w:val="none"/>
          <w:lang w:val="en-US" w:eastAsia="zh-CN"/>
        </w:rPr>
        <w:t>决定</w:t>
      </w:r>
      <w:r>
        <w:rPr>
          <w:rFonts w:hint="default"/>
          <w:highlight w:val="none"/>
          <w:lang w:val="en-US" w:eastAsia="zh-CN"/>
        </w:rPr>
        <w:t>自然疗法的</w:t>
      </w:r>
      <w:r>
        <w:rPr>
          <w:rFonts w:hint="eastAsia"/>
          <w:highlight w:val="none"/>
          <w:lang w:val="en-US" w:eastAsia="zh-CN"/>
        </w:rPr>
        <w:t>发挥、而</w:t>
      </w:r>
      <w:r>
        <w:rPr>
          <w:rFonts w:hint="default"/>
          <w:highlight w:val="none"/>
          <w:lang w:val="en-US" w:eastAsia="zh-CN"/>
        </w:rPr>
        <w:t>生态环境</w:t>
      </w:r>
      <w:r>
        <w:rPr>
          <w:rFonts w:hint="eastAsia"/>
          <w:highlight w:val="none"/>
          <w:lang w:val="en-US" w:eastAsia="zh-CN"/>
        </w:rPr>
        <w:t>的维护要求国家乃至世界范围铺开可持续发展策略和个人积极投身生态文明建设，促进学生</w:t>
      </w:r>
      <w:r>
        <w:rPr>
          <w:rFonts w:hint="default"/>
          <w:highlight w:val="none"/>
          <w:lang w:val="en-US" w:eastAsia="zh-CN"/>
        </w:rPr>
        <w:t>负担生态文明社会责任</w:t>
      </w:r>
      <w:r>
        <w:rPr>
          <w:rFonts w:hint="eastAsia"/>
          <w:highlight w:val="none"/>
          <w:lang w:val="en-US" w:eastAsia="zh-CN"/>
        </w:rPr>
        <w:t>、</w:t>
      </w:r>
      <w:r>
        <w:rPr>
          <w:rFonts w:hint="default"/>
          <w:highlight w:val="none"/>
          <w:lang w:val="en-US" w:eastAsia="zh-CN"/>
        </w:rPr>
        <w:t>发展全球化眼光</w:t>
      </w:r>
      <w:r>
        <w:rPr>
          <w:rFonts w:hint="eastAsia"/>
          <w:highlight w:val="none"/>
          <w:lang w:val="en-US" w:eastAsia="zh-CN"/>
        </w:rPr>
        <w:t>，从而升华课堂价值引领高度。</w:t>
      </w:r>
    </w:p>
    <w:p>
      <w:pPr>
        <w:numPr>
          <w:ilvl w:val="0"/>
          <w:numId w:val="23"/>
        </w:numPr>
        <w:spacing w:line="400" w:lineRule="exact"/>
        <w:ind w:firstLine="422" w:firstLineChars="200"/>
        <w:rPr>
          <w:rFonts w:ascii="宋体" w:hAnsi="宋体" w:eastAsia="宋体" w:cs="宋体"/>
          <w:color w:val="231F20"/>
          <w:kern w:val="0"/>
          <w:szCs w:val="21"/>
          <w:lang w:bidi="ar"/>
        </w:rPr>
      </w:pPr>
      <w:r>
        <w:rPr>
          <w:rFonts w:hint="eastAsia"/>
          <w:b/>
        </w:rPr>
        <w:t>课后拓展</w:t>
      </w:r>
    </w:p>
    <w:p>
      <w:pPr>
        <w:numPr>
          <w:ilvl w:val="0"/>
          <w:numId w:val="26"/>
        </w:numPr>
        <w:spacing w:line="400" w:lineRule="exact"/>
        <w:ind w:left="0" w:leftChars="0" w:firstLine="420" w:firstLineChars="0"/>
        <w:rPr>
          <w:rFonts w:hint="eastAsia"/>
        </w:rPr>
      </w:pPr>
      <w:r>
        <w:rPr>
          <w:rFonts w:hint="eastAsia" w:ascii="宋体" w:hAnsi="宋体" w:eastAsia="宋体" w:cs="宋体"/>
          <w:b w:val="0"/>
          <w:bCs w:val="0"/>
          <w:color w:val="231F20"/>
          <w:kern w:val="0"/>
          <w:szCs w:val="21"/>
          <w:lang w:val="en-US" w:eastAsia="zh-CN" w:bidi="ar"/>
        </w:rPr>
        <w:t>笔记梳理</w:t>
      </w:r>
      <w:r>
        <w:rPr>
          <w:rFonts w:hint="eastAsia" w:ascii="宋体" w:hAnsi="宋体" w:cs="宋体"/>
          <w:color w:val="231F20"/>
          <w:kern w:val="0"/>
          <w:szCs w:val="21"/>
          <w:lang w:val="en-US" w:eastAsia="zh-CN" w:bidi="ar"/>
        </w:rPr>
        <w:t xml:space="preserve">  </w:t>
      </w:r>
      <w:r>
        <w:rPr>
          <w:rFonts w:hint="eastAsia" w:ascii="宋体" w:hAnsi="宋体" w:eastAsia="宋体" w:cs="宋体"/>
          <w:color w:val="231F20"/>
          <w:kern w:val="0"/>
          <w:szCs w:val="21"/>
          <w:lang w:bidi="ar"/>
        </w:rPr>
        <w:t>学生回顾课中内容，参照预习阶段自行绘制的章节知识思维导图，形成具有独立逻辑的章节学习笔记、理清知识结构，教师按完成度进行评分，择优置于</w:t>
      </w:r>
      <w:r>
        <w:rPr>
          <w:rFonts w:hint="eastAsia" w:ascii="宋体" w:hAnsi="宋体" w:cs="宋体"/>
          <w:color w:val="231F20"/>
          <w:kern w:val="0"/>
          <w:szCs w:val="21"/>
          <w:lang w:val="en-US" w:eastAsia="zh-CN" w:bidi="ar"/>
        </w:rPr>
        <w:t>教学平台</w:t>
      </w:r>
      <w:r>
        <w:rPr>
          <w:rFonts w:hint="eastAsia" w:ascii="宋体" w:hAnsi="宋体" w:eastAsia="宋体" w:cs="宋体"/>
          <w:color w:val="231F20"/>
          <w:kern w:val="0"/>
          <w:szCs w:val="21"/>
          <w:lang w:bidi="ar"/>
        </w:rPr>
        <w:t>在线展示供学生间参考交流。</w:t>
      </w:r>
    </w:p>
    <w:p>
      <w:pPr>
        <w:numPr>
          <w:ilvl w:val="0"/>
          <w:numId w:val="26"/>
        </w:numPr>
        <w:spacing w:line="400" w:lineRule="exact"/>
        <w:ind w:left="0" w:leftChars="0" w:firstLine="420" w:firstLineChars="0"/>
        <w:rPr>
          <w:rFonts w:hint="eastAsia"/>
        </w:rPr>
      </w:pPr>
      <w:r>
        <w:rPr>
          <w:rFonts w:hint="eastAsia" w:ascii="宋体" w:hAnsi="宋体" w:eastAsia="宋体" w:cs="宋体"/>
          <w:b w:val="0"/>
          <w:bCs w:val="0"/>
          <w:color w:val="231F20"/>
          <w:kern w:val="0"/>
          <w:szCs w:val="21"/>
          <w:lang w:val="en-US" w:eastAsia="zh-CN" w:bidi="ar"/>
        </w:rPr>
        <w:t>习题巩固</w:t>
      </w:r>
      <w:r>
        <w:rPr>
          <w:rFonts w:hint="eastAsia" w:ascii="宋体" w:hAnsi="宋体" w:cs="宋体"/>
          <w:color w:val="231F20"/>
          <w:kern w:val="0"/>
          <w:szCs w:val="21"/>
          <w:lang w:val="en-US" w:eastAsia="zh-CN" w:bidi="ar"/>
        </w:rPr>
        <w:t xml:space="preserve">  </w:t>
      </w:r>
      <w:r>
        <w:rPr>
          <w:rFonts w:hint="eastAsia" w:ascii="宋体" w:hAnsi="宋体" w:eastAsia="宋体" w:cs="宋体"/>
          <w:color w:val="231F20"/>
          <w:kern w:val="0"/>
          <w:szCs w:val="21"/>
          <w:lang w:bidi="ar"/>
        </w:rPr>
        <w:t>针对基础知识，依托教学平台发布课后限时习题，便于学生在长期记忆复习周期内继续巩固学习效果。</w:t>
      </w:r>
    </w:p>
    <w:p>
      <w:pPr>
        <w:numPr>
          <w:ilvl w:val="0"/>
          <w:numId w:val="26"/>
        </w:numPr>
        <w:spacing w:line="400" w:lineRule="exact"/>
        <w:ind w:left="0" w:leftChars="0" w:firstLine="420" w:firstLineChars="0"/>
        <w:rPr>
          <w:rFonts w:hint="eastAsia"/>
        </w:rPr>
      </w:pPr>
      <w:r>
        <w:rPr>
          <w:rFonts w:hint="eastAsia" w:ascii="宋体" w:hAnsi="宋体" w:cs="宋体"/>
          <w:b w:val="0"/>
          <w:bCs w:val="0"/>
          <w:color w:val="231F20"/>
          <w:kern w:val="0"/>
          <w:szCs w:val="21"/>
          <w:lang w:val="en-US" w:eastAsia="zh-CN" w:bidi="ar"/>
        </w:rPr>
        <w:t>实践</w:t>
      </w:r>
      <w:r>
        <w:rPr>
          <w:rFonts w:hint="eastAsia" w:ascii="宋体" w:hAnsi="宋体" w:eastAsia="宋体" w:cs="宋体"/>
          <w:b w:val="0"/>
          <w:bCs w:val="0"/>
          <w:color w:val="231F20"/>
          <w:kern w:val="0"/>
          <w:szCs w:val="21"/>
          <w:lang w:bidi="ar"/>
        </w:rPr>
        <w:t>拓展</w:t>
      </w:r>
      <w:r>
        <w:rPr>
          <w:rFonts w:hint="eastAsia" w:ascii="宋体" w:hAnsi="宋体" w:cs="宋体"/>
          <w:color w:val="231F20"/>
          <w:kern w:val="0"/>
          <w:szCs w:val="21"/>
          <w:lang w:val="en-US" w:eastAsia="zh-CN" w:bidi="ar"/>
        </w:rPr>
        <w:t xml:space="preserve">  </w:t>
      </w:r>
      <w:r>
        <w:rPr>
          <w:rFonts w:hint="eastAsia"/>
          <w:lang w:val="en-US" w:eastAsia="zh-CN"/>
        </w:rPr>
        <w:t>在确保行程安全的前提下，组织学生前往合作教学基地亲身体验自然疗法，在真是情景中落地对教学内容的理解；参观临床自然疗法岗位，分组拍摄视频作业进行工作流程梳理，进一步完善岗位认知、坚定职业信念。</w:t>
      </w:r>
    </w:p>
    <w:p>
      <w:pPr>
        <w:spacing w:line="400" w:lineRule="exact"/>
        <w:jc w:val="center"/>
        <w:rPr>
          <w:rFonts w:hint="eastAsia"/>
          <w:b/>
          <w:sz w:val="18"/>
          <w:szCs w:val="18"/>
        </w:rPr>
      </w:pPr>
      <w:r>
        <w:rPr>
          <w:rFonts w:hint="eastAsia"/>
          <w:b/>
          <w:sz w:val="18"/>
          <w:szCs w:val="18"/>
        </w:rPr>
        <w:t xml:space="preserve">表2 </w:t>
      </w:r>
      <w:r>
        <w:rPr>
          <w:rFonts w:hint="eastAsia"/>
          <w:b/>
          <w:sz w:val="18"/>
          <w:szCs w:val="18"/>
          <w:lang w:val="en-US" w:eastAsia="zh-CN"/>
        </w:rPr>
        <w:t xml:space="preserve"> 《物理因子治疗技术》</w:t>
      </w:r>
      <w:r>
        <w:rPr>
          <w:rFonts w:hint="eastAsia"/>
          <w:b/>
          <w:sz w:val="18"/>
          <w:szCs w:val="18"/>
        </w:rPr>
        <w:t>课程思政教学实施过程</w:t>
      </w:r>
    </w:p>
    <w:tbl>
      <w:tblPr>
        <w:tblStyle w:val="3"/>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60"/>
        <w:gridCol w:w="1735"/>
        <w:gridCol w:w="1822"/>
        <w:gridCol w:w="1822"/>
        <w:gridCol w:w="1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319" w:type="dxa"/>
            <w:gridSpan w:val="2"/>
            <w:shd w:val="clear" w:color="auto" w:fill="auto"/>
            <w:noWrap w:val="0"/>
            <w:vAlign w:val="center"/>
          </w:tcPr>
          <w:p>
            <w:pPr>
              <w:spacing w:line="240" w:lineRule="auto"/>
              <w:jc w:val="center"/>
              <w:rPr>
                <w:rFonts w:hint="eastAsia"/>
                <w:b/>
                <w:sz w:val="18"/>
                <w:szCs w:val="18"/>
              </w:rPr>
            </w:pPr>
            <w:r>
              <w:rPr>
                <w:rFonts w:hint="eastAsia"/>
                <w:b/>
                <w:sz w:val="18"/>
                <w:szCs w:val="18"/>
              </w:rPr>
              <w:t>教学环节</w:t>
            </w:r>
          </w:p>
        </w:tc>
        <w:tc>
          <w:tcPr>
            <w:tcW w:w="1735" w:type="dxa"/>
            <w:shd w:val="clear" w:color="auto" w:fill="auto"/>
            <w:noWrap w:val="0"/>
            <w:vAlign w:val="center"/>
          </w:tcPr>
          <w:p>
            <w:pPr>
              <w:spacing w:line="240" w:lineRule="auto"/>
              <w:jc w:val="center"/>
              <w:rPr>
                <w:rFonts w:hint="eastAsia" w:eastAsia="宋体"/>
                <w:b/>
                <w:sz w:val="18"/>
                <w:szCs w:val="18"/>
                <w:lang w:eastAsia="zh-CN"/>
              </w:rPr>
            </w:pPr>
            <w:r>
              <w:rPr>
                <w:rFonts w:hint="eastAsia"/>
                <w:b/>
                <w:sz w:val="18"/>
                <w:szCs w:val="18"/>
                <w:lang w:val="en-US" w:eastAsia="zh-CN"/>
              </w:rPr>
              <w:t>教学活动</w:t>
            </w:r>
          </w:p>
        </w:tc>
        <w:tc>
          <w:tcPr>
            <w:tcW w:w="1822" w:type="dxa"/>
            <w:shd w:val="clear" w:color="auto" w:fill="auto"/>
            <w:noWrap w:val="0"/>
            <w:vAlign w:val="center"/>
          </w:tcPr>
          <w:p>
            <w:pPr>
              <w:spacing w:line="240" w:lineRule="auto"/>
              <w:jc w:val="center"/>
              <w:rPr>
                <w:rFonts w:hint="eastAsia"/>
                <w:b/>
                <w:sz w:val="18"/>
                <w:szCs w:val="18"/>
              </w:rPr>
            </w:pPr>
            <w:r>
              <w:rPr>
                <w:rFonts w:hint="eastAsia"/>
                <w:b/>
                <w:sz w:val="18"/>
                <w:szCs w:val="18"/>
              </w:rPr>
              <w:t>教学内容</w:t>
            </w:r>
          </w:p>
        </w:tc>
        <w:tc>
          <w:tcPr>
            <w:tcW w:w="1822" w:type="dxa"/>
            <w:shd w:val="clear" w:color="auto" w:fill="auto"/>
            <w:noWrap w:val="0"/>
            <w:vAlign w:val="center"/>
          </w:tcPr>
          <w:p>
            <w:pPr>
              <w:spacing w:line="240" w:lineRule="auto"/>
              <w:jc w:val="center"/>
              <w:rPr>
                <w:rFonts w:hint="eastAsia"/>
                <w:sz w:val="18"/>
                <w:szCs w:val="18"/>
              </w:rPr>
            </w:pPr>
            <w:r>
              <w:rPr>
                <w:rFonts w:hint="eastAsia"/>
                <w:b/>
                <w:sz w:val="18"/>
                <w:szCs w:val="18"/>
              </w:rPr>
              <w:t>教学资源</w:t>
            </w:r>
          </w:p>
        </w:tc>
        <w:tc>
          <w:tcPr>
            <w:tcW w:w="1822" w:type="dxa"/>
            <w:shd w:val="clear" w:color="auto" w:fill="auto"/>
            <w:noWrap w:val="0"/>
            <w:vAlign w:val="center"/>
          </w:tcPr>
          <w:p>
            <w:pPr>
              <w:spacing w:line="240" w:lineRule="auto"/>
              <w:jc w:val="center"/>
              <w:rPr>
                <w:rFonts w:hint="default" w:eastAsia="宋体"/>
                <w:b/>
                <w:sz w:val="18"/>
                <w:szCs w:val="18"/>
                <w:lang w:val="en-US" w:eastAsia="zh-CN"/>
              </w:rPr>
            </w:pPr>
            <w:r>
              <w:rPr>
                <w:rFonts w:hint="eastAsia"/>
                <w:b/>
                <w:sz w:val="18"/>
                <w:szCs w:val="18"/>
              </w:rPr>
              <w:t>思政</w:t>
            </w:r>
            <w:r>
              <w:rPr>
                <w:rFonts w:hint="eastAsia"/>
                <w:b/>
                <w:sz w:val="18"/>
                <w:szCs w:val="18"/>
                <w:lang w:val="en-US" w:eastAsia="zh-CN"/>
              </w:rPr>
              <w:t>元素融入点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9" w:type="dxa"/>
            <w:gridSpan w:val="2"/>
            <w:shd w:val="clear" w:color="auto" w:fill="auto"/>
            <w:noWrap w:val="0"/>
            <w:vAlign w:val="center"/>
          </w:tcPr>
          <w:p>
            <w:pPr>
              <w:spacing w:line="240" w:lineRule="auto"/>
              <w:jc w:val="center"/>
              <w:rPr>
                <w:rFonts w:hint="default" w:eastAsia="宋体"/>
                <w:sz w:val="18"/>
                <w:szCs w:val="18"/>
                <w:lang w:val="en-US" w:eastAsia="zh-CN"/>
              </w:rPr>
            </w:pPr>
            <w:r>
              <w:rPr>
                <w:rFonts w:hint="eastAsia"/>
                <w:sz w:val="18"/>
                <w:szCs w:val="18"/>
                <w:lang w:val="en-US" w:eastAsia="zh-CN"/>
              </w:rPr>
              <w:t>课前预习</w:t>
            </w:r>
          </w:p>
        </w:tc>
        <w:tc>
          <w:tcPr>
            <w:tcW w:w="1735" w:type="dxa"/>
            <w:shd w:val="clear" w:color="auto" w:fill="auto"/>
            <w:noWrap w:val="0"/>
            <w:vAlign w:val="center"/>
          </w:tcPr>
          <w:p>
            <w:pPr>
              <w:spacing w:line="240" w:lineRule="auto"/>
              <w:jc w:val="center"/>
              <w:rPr>
                <w:rFonts w:hint="eastAsia"/>
                <w:sz w:val="18"/>
                <w:szCs w:val="18"/>
                <w:lang w:val="en-US" w:eastAsia="zh-CN"/>
              </w:rPr>
            </w:pPr>
            <w:r>
              <w:rPr>
                <w:rFonts w:hint="eastAsia"/>
                <w:sz w:val="18"/>
                <w:szCs w:val="18"/>
                <w:lang w:val="en-US" w:eastAsia="zh-CN"/>
              </w:rPr>
              <w:t>任务驱动</w:t>
            </w:r>
          </w:p>
          <w:p>
            <w:pPr>
              <w:spacing w:line="240" w:lineRule="auto"/>
              <w:jc w:val="center"/>
              <w:rPr>
                <w:rFonts w:hint="default"/>
                <w:sz w:val="18"/>
                <w:szCs w:val="18"/>
                <w:lang w:val="en-US" w:eastAsia="zh-CN"/>
              </w:rPr>
            </w:pPr>
            <w:r>
              <w:rPr>
                <w:rFonts w:hint="eastAsia"/>
                <w:sz w:val="18"/>
                <w:szCs w:val="18"/>
                <w:lang w:val="en-US" w:eastAsia="zh-CN"/>
              </w:rPr>
              <w:t>分组探究</w:t>
            </w:r>
          </w:p>
        </w:tc>
        <w:tc>
          <w:tcPr>
            <w:tcW w:w="1822" w:type="dxa"/>
            <w:shd w:val="clear" w:color="auto" w:fill="auto"/>
            <w:noWrap w:val="0"/>
            <w:vAlign w:val="center"/>
          </w:tcPr>
          <w:p>
            <w:pPr>
              <w:spacing w:line="240" w:lineRule="auto"/>
              <w:jc w:val="both"/>
              <w:rPr>
                <w:rFonts w:hint="eastAsia"/>
                <w:sz w:val="18"/>
                <w:szCs w:val="18"/>
                <w:lang w:val="en-US" w:eastAsia="zh-CN"/>
              </w:rPr>
            </w:pPr>
            <w:r>
              <w:rPr>
                <w:rFonts w:hint="eastAsia"/>
                <w:sz w:val="18"/>
                <w:szCs w:val="18"/>
                <w:lang w:val="en-US" w:eastAsia="zh-CN"/>
              </w:rPr>
              <w:t>教学平台发布制作课程思维导图作业。</w:t>
            </w:r>
          </w:p>
        </w:tc>
        <w:tc>
          <w:tcPr>
            <w:tcW w:w="1822" w:type="dxa"/>
            <w:shd w:val="clear" w:color="auto" w:fill="auto"/>
            <w:noWrap w:val="0"/>
            <w:vAlign w:val="center"/>
          </w:tcPr>
          <w:p>
            <w:pPr>
              <w:spacing w:line="240" w:lineRule="auto"/>
              <w:jc w:val="center"/>
              <w:rPr>
                <w:rFonts w:hint="eastAsia"/>
                <w:sz w:val="18"/>
                <w:szCs w:val="18"/>
              </w:rPr>
            </w:pPr>
            <w:r>
              <w:rPr>
                <w:rFonts w:hint="eastAsia"/>
                <w:sz w:val="18"/>
                <w:szCs w:val="18"/>
                <w:lang w:val="en-US" w:eastAsia="zh-CN"/>
              </w:rPr>
              <w:t>教学平台</w:t>
            </w:r>
          </w:p>
        </w:tc>
        <w:tc>
          <w:tcPr>
            <w:tcW w:w="1822" w:type="dxa"/>
            <w:shd w:val="clear" w:color="auto" w:fill="auto"/>
            <w:noWrap w:val="0"/>
            <w:vAlign w:val="center"/>
          </w:tcPr>
          <w:p>
            <w:pPr>
              <w:spacing w:line="240" w:lineRule="auto"/>
              <w:jc w:val="left"/>
              <w:rPr>
                <w:rFonts w:hint="default" w:eastAsia="宋体"/>
                <w:sz w:val="18"/>
                <w:szCs w:val="18"/>
                <w:lang w:val="en-US" w:eastAsia="zh-CN"/>
              </w:rPr>
            </w:pPr>
            <w:r>
              <w:rPr>
                <w:rFonts w:hint="eastAsia"/>
                <w:sz w:val="18"/>
                <w:szCs w:val="18"/>
                <w:lang w:val="en-US" w:eastAsia="zh-CN"/>
              </w:rPr>
              <w:t>发挥主观能动性，提升系统化分析能力及协作能力。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659" w:type="dxa"/>
            <w:vMerge w:val="restart"/>
            <w:shd w:val="clear" w:color="auto" w:fill="auto"/>
            <w:noWrap w:val="0"/>
            <w:vAlign w:val="center"/>
          </w:tcPr>
          <w:p>
            <w:pPr>
              <w:spacing w:line="240" w:lineRule="auto"/>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课堂实施</w:t>
            </w:r>
          </w:p>
        </w:tc>
        <w:tc>
          <w:tcPr>
            <w:tcW w:w="660" w:type="dxa"/>
            <w:shd w:val="clear" w:color="auto" w:fill="auto"/>
            <w:noWrap w:val="0"/>
            <w:vAlign w:val="center"/>
          </w:tcPr>
          <w:p>
            <w:pPr>
              <w:spacing w:line="240" w:lineRule="auto"/>
              <w:jc w:val="center"/>
              <w:rPr>
                <w:rFonts w:hint="eastAsia"/>
                <w:sz w:val="18"/>
                <w:szCs w:val="18"/>
                <w:lang w:val="en-US" w:eastAsia="zh-CN"/>
              </w:rPr>
            </w:pPr>
            <w:r>
              <w:rPr>
                <w:rFonts w:hint="eastAsia"/>
                <w:sz w:val="18"/>
                <w:szCs w:val="18"/>
                <w:lang w:val="en-US" w:eastAsia="zh-CN"/>
              </w:rPr>
              <w:t>导入</w:t>
            </w:r>
          </w:p>
        </w:tc>
        <w:tc>
          <w:tcPr>
            <w:tcW w:w="1735" w:type="dxa"/>
            <w:shd w:val="clear" w:color="auto" w:fill="auto"/>
            <w:noWrap w:val="0"/>
            <w:vAlign w:val="center"/>
          </w:tcPr>
          <w:p>
            <w:pPr>
              <w:spacing w:line="240" w:lineRule="auto"/>
              <w:jc w:val="center"/>
              <w:rPr>
                <w:rFonts w:hint="eastAsia"/>
                <w:sz w:val="18"/>
                <w:szCs w:val="18"/>
                <w:lang w:val="en-US" w:eastAsia="zh-CN"/>
              </w:rPr>
            </w:pPr>
            <w:r>
              <w:rPr>
                <w:rFonts w:hint="eastAsia"/>
                <w:sz w:val="18"/>
                <w:szCs w:val="18"/>
                <w:lang w:val="en-US" w:eastAsia="zh-CN"/>
              </w:rPr>
              <w:t>衔接任务</w:t>
            </w:r>
          </w:p>
          <w:p>
            <w:pPr>
              <w:spacing w:line="240" w:lineRule="auto"/>
              <w:jc w:val="center"/>
              <w:rPr>
                <w:rFonts w:hint="default"/>
                <w:sz w:val="18"/>
                <w:szCs w:val="18"/>
                <w:lang w:val="en-US" w:eastAsia="zh-CN"/>
              </w:rPr>
            </w:pPr>
            <w:r>
              <w:rPr>
                <w:rFonts w:hint="eastAsia"/>
                <w:sz w:val="18"/>
                <w:szCs w:val="18"/>
                <w:lang w:val="en-US" w:eastAsia="zh-CN"/>
              </w:rPr>
              <w:t>复习启发</w:t>
            </w:r>
          </w:p>
        </w:tc>
        <w:tc>
          <w:tcPr>
            <w:tcW w:w="1822" w:type="dxa"/>
            <w:shd w:val="clear" w:color="auto" w:fill="auto"/>
            <w:noWrap w:val="0"/>
            <w:vAlign w:val="center"/>
          </w:tcPr>
          <w:p>
            <w:pPr>
              <w:spacing w:line="240" w:lineRule="auto"/>
              <w:jc w:val="both"/>
              <w:rPr>
                <w:rFonts w:hint="eastAsia"/>
                <w:sz w:val="18"/>
                <w:szCs w:val="18"/>
              </w:rPr>
            </w:pPr>
            <w:r>
              <w:rPr>
                <w:rFonts w:hint="eastAsia"/>
                <w:sz w:val="18"/>
                <w:szCs w:val="18"/>
                <w:lang w:val="en-US" w:eastAsia="zh-CN"/>
              </w:rPr>
              <w:t>回顾前期知识“</w:t>
            </w:r>
            <w:r>
              <w:rPr>
                <w:rFonts w:hint="eastAsia"/>
                <w:sz w:val="18"/>
                <w:szCs w:val="18"/>
              </w:rPr>
              <w:t>物理因子</w:t>
            </w:r>
            <w:r>
              <w:rPr>
                <w:rFonts w:hint="eastAsia"/>
                <w:sz w:val="18"/>
                <w:szCs w:val="18"/>
                <w:lang w:val="en-US" w:eastAsia="zh-CN"/>
              </w:rPr>
              <w:t>治疗技术分类”，结合课前预习任务梳理课程知识体系，导入新课。</w:t>
            </w:r>
          </w:p>
        </w:tc>
        <w:tc>
          <w:tcPr>
            <w:tcW w:w="1822" w:type="dxa"/>
            <w:shd w:val="clear" w:color="auto" w:fill="auto"/>
            <w:noWrap w:val="0"/>
            <w:vAlign w:val="center"/>
          </w:tcPr>
          <w:p>
            <w:pPr>
              <w:spacing w:line="240" w:lineRule="auto"/>
              <w:jc w:val="center"/>
              <w:rPr>
                <w:rFonts w:hint="eastAsia"/>
                <w:sz w:val="18"/>
                <w:szCs w:val="18"/>
              </w:rPr>
            </w:pPr>
            <w:r>
              <w:rPr>
                <w:rFonts w:hint="eastAsia"/>
                <w:sz w:val="18"/>
                <w:szCs w:val="18"/>
                <w:lang w:val="en-US" w:eastAsia="zh-CN"/>
              </w:rPr>
              <w:t>教学</w:t>
            </w:r>
            <w:r>
              <w:rPr>
                <w:rFonts w:hint="eastAsia"/>
                <w:sz w:val="18"/>
                <w:szCs w:val="18"/>
              </w:rPr>
              <w:t>课件</w:t>
            </w:r>
          </w:p>
          <w:p>
            <w:pPr>
              <w:spacing w:line="240" w:lineRule="auto"/>
              <w:jc w:val="center"/>
              <w:rPr>
                <w:rFonts w:hint="eastAsia" w:eastAsia="宋体"/>
                <w:sz w:val="18"/>
                <w:szCs w:val="18"/>
                <w:lang w:val="en-US" w:eastAsia="zh-CN"/>
              </w:rPr>
            </w:pPr>
            <w:r>
              <w:rPr>
                <w:rFonts w:hint="eastAsia"/>
                <w:sz w:val="18"/>
                <w:szCs w:val="18"/>
                <w:lang w:val="en-US" w:eastAsia="zh-CN"/>
              </w:rPr>
              <w:t>教学平台</w:t>
            </w:r>
          </w:p>
          <w:p>
            <w:pPr>
              <w:spacing w:line="240" w:lineRule="auto"/>
              <w:jc w:val="center"/>
              <w:rPr>
                <w:rFonts w:hint="eastAsia" w:ascii="Times New Roman" w:hAnsi="Times New Roman" w:eastAsia="宋体" w:cs="Times New Roman"/>
                <w:kern w:val="2"/>
                <w:sz w:val="18"/>
                <w:szCs w:val="18"/>
                <w:lang w:val="en-US" w:eastAsia="zh-CN" w:bidi="ar-SA"/>
              </w:rPr>
            </w:pPr>
            <w:r>
              <w:rPr>
                <w:rFonts w:hint="eastAsia"/>
                <w:sz w:val="18"/>
                <w:szCs w:val="18"/>
              </w:rPr>
              <w:t>思维导图</w:t>
            </w:r>
          </w:p>
        </w:tc>
        <w:tc>
          <w:tcPr>
            <w:tcW w:w="1822" w:type="dxa"/>
            <w:shd w:val="clear" w:color="auto" w:fill="auto"/>
            <w:noWrap w:val="0"/>
            <w:vAlign w:val="center"/>
          </w:tcPr>
          <w:p>
            <w:pPr>
              <w:spacing w:line="240" w:lineRule="auto"/>
              <w:jc w:val="left"/>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完善知识体系，激发学习动力，发展专业认知。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659" w:type="dxa"/>
            <w:vMerge w:val="continue"/>
            <w:shd w:val="clear" w:color="auto" w:fill="auto"/>
            <w:noWrap w:val="0"/>
            <w:vAlign w:val="center"/>
          </w:tcPr>
          <w:p>
            <w:pPr>
              <w:spacing w:line="240" w:lineRule="auto"/>
              <w:jc w:val="center"/>
              <w:rPr>
                <w:rFonts w:hint="default" w:ascii="Times New Roman" w:hAnsi="Times New Roman" w:eastAsia="宋体" w:cs="Times New Roman"/>
                <w:kern w:val="2"/>
                <w:sz w:val="18"/>
                <w:szCs w:val="18"/>
                <w:lang w:val="en-US" w:eastAsia="zh-CN" w:bidi="ar-SA"/>
              </w:rPr>
            </w:pPr>
          </w:p>
        </w:tc>
        <w:tc>
          <w:tcPr>
            <w:tcW w:w="660" w:type="dxa"/>
            <w:vMerge w:val="restart"/>
            <w:shd w:val="clear" w:color="auto" w:fill="auto"/>
            <w:noWrap w:val="0"/>
            <w:vAlign w:val="center"/>
          </w:tcPr>
          <w:p>
            <w:pPr>
              <w:spacing w:line="240" w:lineRule="auto"/>
              <w:jc w:val="center"/>
              <w:rPr>
                <w:rFonts w:hint="eastAsia" w:cs="Times New Roman"/>
                <w:kern w:val="2"/>
                <w:sz w:val="18"/>
                <w:szCs w:val="18"/>
                <w:lang w:val="en-US" w:eastAsia="zh-CN" w:bidi="ar-SA"/>
              </w:rPr>
            </w:pPr>
            <w:r>
              <w:rPr>
                <w:rFonts w:hint="eastAsia" w:cs="Times New Roman"/>
                <w:kern w:val="2"/>
                <w:sz w:val="18"/>
                <w:szCs w:val="18"/>
                <w:lang w:val="en-US" w:eastAsia="zh-CN" w:bidi="ar-SA"/>
              </w:rPr>
              <w:t>课中</w:t>
            </w:r>
          </w:p>
        </w:tc>
        <w:tc>
          <w:tcPr>
            <w:tcW w:w="1735" w:type="dxa"/>
            <w:shd w:val="clear" w:color="auto" w:fill="auto"/>
            <w:noWrap w:val="0"/>
            <w:vAlign w:val="center"/>
          </w:tcPr>
          <w:p>
            <w:pPr>
              <w:spacing w:line="240" w:lineRule="auto"/>
              <w:jc w:val="center"/>
              <w:rPr>
                <w:rFonts w:hint="eastAsia"/>
                <w:sz w:val="18"/>
                <w:szCs w:val="18"/>
                <w:lang w:val="en-US" w:eastAsia="zh-CN"/>
              </w:rPr>
            </w:pPr>
            <w:r>
              <w:rPr>
                <w:rFonts w:hint="eastAsia"/>
                <w:sz w:val="18"/>
                <w:szCs w:val="18"/>
                <w:lang w:val="en-US" w:eastAsia="zh-CN"/>
              </w:rPr>
              <w:t>解构讲授</w:t>
            </w:r>
          </w:p>
          <w:p>
            <w:pPr>
              <w:spacing w:line="240" w:lineRule="auto"/>
              <w:jc w:val="center"/>
              <w:rPr>
                <w:rFonts w:hint="default"/>
                <w:sz w:val="18"/>
                <w:szCs w:val="18"/>
                <w:lang w:val="en-US" w:eastAsia="zh-CN"/>
              </w:rPr>
            </w:pPr>
            <w:r>
              <w:rPr>
                <w:rFonts w:hint="eastAsia"/>
                <w:sz w:val="18"/>
                <w:szCs w:val="18"/>
                <w:lang w:val="en-US" w:eastAsia="zh-CN"/>
              </w:rPr>
              <w:t>诱导探究</w:t>
            </w:r>
          </w:p>
        </w:tc>
        <w:tc>
          <w:tcPr>
            <w:tcW w:w="1822" w:type="dxa"/>
            <w:shd w:val="clear" w:color="auto" w:fill="auto"/>
            <w:noWrap w:val="0"/>
            <w:vAlign w:val="center"/>
          </w:tcPr>
          <w:p>
            <w:pPr>
              <w:numPr>
                <w:ilvl w:val="0"/>
                <w:numId w:val="0"/>
              </w:numPr>
              <w:spacing w:line="240" w:lineRule="auto"/>
              <w:jc w:val="left"/>
              <w:rPr>
                <w:rFonts w:hint="eastAsia"/>
                <w:sz w:val="18"/>
                <w:szCs w:val="18"/>
                <w:lang w:val="en-US" w:eastAsia="zh-CN"/>
              </w:rPr>
            </w:pPr>
            <w:r>
              <w:rPr>
                <w:rFonts w:hint="eastAsia"/>
                <w:sz w:val="18"/>
                <w:szCs w:val="18"/>
                <w:lang w:val="en-US" w:eastAsia="zh-CN"/>
              </w:rPr>
              <w:t>讲授</w:t>
            </w:r>
            <w:r>
              <w:rPr>
                <w:rFonts w:hint="eastAsia"/>
                <w:sz w:val="18"/>
                <w:szCs w:val="18"/>
              </w:rPr>
              <w:t>自然疗法的概念</w:t>
            </w:r>
            <w:r>
              <w:rPr>
                <w:rFonts w:hint="eastAsia"/>
                <w:sz w:val="18"/>
                <w:szCs w:val="18"/>
                <w:lang w:eastAsia="zh-CN"/>
              </w:rPr>
              <w:t>，</w:t>
            </w:r>
            <w:r>
              <w:rPr>
                <w:rFonts w:hint="eastAsia" w:ascii="Times New Roman" w:hAnsi="Times New Roman" w:cs="Times New Roman"/>
                <w:sz w:val="18"/>
                <w:szCs w:val="18"/>
                <w:lang w:val="en-US" w:eastAsia="zh-CN"/>
              </w:rPr>
              <w:t>探讨自然疗法</w:t>
            </w:r>
            <w:r>
              <w:rPr>
                <w:rFonts w:hint="eastAsia" w:cs="Times New Roman"/>
                <w:sz w:val="18"/>
                <w:szCs w:val="18"/>
                <w:lang w:val="en-US" w:eastAsia="zh-CN"/>
              </w:rPr>
              <w:t>来</w:t>
            </w:r>
            <w:r>
              <w:rPr>
                <w:rFonts w:hint="eastAsia" w:ascii="Times New Roman" w:hAnsi="Times New Roman" w:cs="Times New Roman"/>
                <w:sz w:val="18"/>
                <w:szCs w:val="18"/>
                <w:lang w:val="en-US" w:eastAsia="zh-CN"/>
              </w:rPr>
              <w:t>源，分析生态环境在自然疗法中的决定地位</w:t>
            </w:r>
            <w:r>
              <w:rPr>
                <w:rFonts w:hint="eastAsia" w:cs="Times New Roman"/>
                <w:sz w:val="18"/>
                <w:szCs w:val="18"/>
                <w:lang w:val="en-US" w:eastAsia="zh-CN"/>
              </w:rPr>
              <w:t>。</w:t>
            </w:r>
          </w:p>
        </w:tc>
        <w:tc>
          <w:tcPr>
            <w:tcW w:w="1822" w:type="dxa"/>
            <w:shd w:val="clear" w:color="auto" w:fill="auto"/>
            <w:noWrap w:val="0"/>
            <w:vAlign w:val="center"/>
          </w:tcPr>
          <w:p>
            <w:pPr>
              <w:spacing w:line="240" w:lineRule="auto"/>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教学</w:t>
            </w:r>
            <w:r>
              <w:rPr>
                <w:rFonts w:hint="eastAsia"/>
                <w:sz w:val="18"/>
                <w:szCs w:val="18"/>
              </w:rPr>
              <w:t>课件</w:t>
            </w:r>
          </w:p>
        </w:tc>
        <w:tc>
          <w:tcPr>
            <w:tcW w:w="1822" w:type="dxa"/>
            <w:shd w:val="clear" w:color="auto" w:fill="auto"/>
            <w:noWrap w:val="0"/>
            <w:vAlign w:val="center"/>
          </w:tcPr>
          <w:p>
            <w:pPr>
              <w:spacing w:line="240" w:lineRule="auto"/>
              <w:jc w:val="left"/>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锤炼关联规律挖掘力，提升生态意识，树立全局观念。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shd w:val="clear" w:color="auto" w:fill="auto"/>
            <w:noWrap w:val="0"/>
            <w:vAlign w:val="center"/>
          </w:tcPr>
          <w:p>
            <w:pPr>
              <w:spacing w:line="240" w:lineRule="auto"/>
              <w:jc w:val="center"/>
              <w:rPr>
                <w:rFonts w:hint="eastAsia" w:ascii="Times New Roman" w:hAnsi="Times New Roman" w:eastAsia="宋体" w:cs="Times New Roman"/>
                <w:kern w:val="2"/>
                <w:sz w:val="18"/>
                <w:szCs w:val="18"/>
                <w:lang w:val="en-US" w:eastAsia="zh-CN" w:bidi="ar-SA"/>
              </w:rPr>
            </w:pPr>
          </w:p>
        </w:tc>
        <w:tc>
          <w:tcPr>
            <w:tcW w:w="660" w:type="dxa"/>
            <w:vMerge w:val="continue"/>
            <w:shd w:val="clear" w:color="auto" w:fill="auto"/>
            <w:noWrap w:val="0"/>
            <w:vAlign w:val="center"/>
          </w:tcPr>
          <w:p>
            <w:pPr>
              <w:spacing w:line="240" w:lineRule="auto"/>
              <w:jc w:val="center"/>
              <w:rPr>
                <w:rFonts w:hint="eastAsia" w:ascii="Times New Roman" w:hAnsi="Times New Roman" w:eastAsia="宋体" w:cs="Times New Roman"/>
                <w:kern w:val="2"/>
                <w:sz w:val="18"/>
                <w:szCs w:val="18"/>
                <w:lang w:val="en-US" w:eastAsia="zh-CN" w:bidi="ar-SA"/>
              </w:rPr>
            </w:pPr>
          </w:p>
        </w:tc>
        <w:tc>
          <w:tcPr>
            <w:tcW w:w="1735" w:type="dxa"/>
            <w:shd w:val="clear" w:color="auto" w:fill="auto"/>
            <w:noWrap w:val="0"/>
            <w:vAlign w:val="center"/>
          </w:tcPr>
          <w:p>
            <w:pPr>
              <w:spacing w:line="240" w:lineRule="auto"/>
              <w:jc w:val="center"/>
              <w:rPr>
                <w:rFonts w:hint="eastAsia"/>
                <w:sz w:val="18"/>
                <w:szCs w:val="18"/>
                <w:lang w:val="en-US" w:eastAsia="zh-CN"/>
              </w:rPr>
            </w:pPr>
            <w:r>
              <w:rPr>
                <w:rFonts w:hint="eastAsia"/>
                <w:sz w:val="18"/>
                <w:szCs w:val="18"/>
                <w:lang w:val="en-US" w:eastAsia="zh-CN"/>
              </w:rPr>
              <w:t>直观演示</w:t>
            </w:r>
          </w:p>
          <w:p>
            <w:pPr>
              <w:spacing w:line="240" w:lineRule="auto"/>
              <w:jc w:val="center"/>
              <w:rPr>
                <w:rFonts w:hint="eastAsia"/>
                <w:b/>
                <w:bCs/>
                <w:sz w:val="18"/>
                <w:szCs w:val="18"/>
                <w:lang w:val="en-US" w:eastAsia="zh-CN"/>
              </w:rPr>
            </w:pPr>
            <w:r>
              <w:rPr>
                <w:rFonts w:hint="eastAsia"/>
                <w:sz w:val="18"/>
                <w:szCs w:val="18"/>
                <w:lang w:val="en-US" w:eastAsia="zh-CN"/>
              </w:rPr>
              <w:t>价值引领</w:t>
            </w:r>
          </w:p>
        </w:tc>
        <w:tc>
          <w:tcPr>
            <w:tcW w:w="1822" w:type="dxa"/>
            <w:shd w:val="clear" w:color="auto" w:fill="auto"/>
            <w:noWrap w:val="0"/>
            <w:vAlign w:val="center"/>
          </w:tcPr>
          <w:p>
            <w:pPr>
              <w:spacing w:line="240" w:lineRule="auto"/>
              <w:jc w:val="left"/>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认识</w:t>
            </w:r>
            <w:r>
              <w:rPr>
                <w:rFonts w:hint="eastAsia"/>
                <w:sz w:val="18"/>
                <w:szCs w:val="18"/>
              </w:rPr>
              <w:t>自然物理因子分类</w:t>
            </w:r>
            <w:r>
              <w:rPr>
                <w:rFonts w:hint="eastAsia"/>
                <w:sz w:val="18"/>
                <w:szCs w:val="18"/>
                <w:lang w:eastAsia="zh-CN"/>
              </w:rPr>
              <w:t>，</w:t>
            </w:r>
            <w:r>
              <w:rPr>
                <w:rFonts w:hint="eastAsia"/>
                <w:sz w:val="18"/>
                <w:szCs w:val="18"/>
                <w:lang w:val="en-US" w:eastAsia="zh-CN"/>
              </w:rPr>
              <w:t>视频演示我国</w:t>
            </w:r>
            <w:r>
              <w:rPr>
                <w:rFonts w:hint="eastAsia"/>
                <w:sz w:val="18"/>
                <w:szCs w:val="18"/>
              </w:rPr>
              <w:t>自然物理因子</w:t>
            </w:r>
            <w:r>
              <w:rPr>
                <w:rFonts w:hint="eastAsia"/>
                <w:sz w:val="18"/>
                <w:szCs w:val="18"/>
                <w:lang w:val="en-US" w:eastAsia="zh-CN"/>
              </w:rPr>
              <w:t>资源数据。</w:t>
            </w:r>
          </w:p>
        </w:tc>
        <w:tc>
          <w:tcPr>
            <w:tcW w:w="1822" w:type="dxa"/>
            <w:shd w:val="clear" w:color="auto" w:fill="auto"/>
            <w:noWrap w:val="0"/>
            <w:vAlign w:val="center"/>
          </w:tcPr>
          <w:p>
            <w:pPr>
              <w:spacing w:line="240" w:lineRule="auto"/>
              <w:jc w:val="center"/>
              <w:rPr>
                <w:rFonts w:hint="eastAsia"/>
                <w:sz w:val="18"/>
                <w:szCs w:val="18"/>
              </w:rPr>
            </w:pPr>
            <w:r>
              <w:rPr>
                <w:rFonts w:hint="eastAsia"/>
                <w:sz w:val="18"/>
                <w:szCs w:val="18"/>
                <w:lang w:val="en-US" w:eastAsia="zh-CN"/>
              </w:rPr>
              <w:t>教学</w:t>
            </w:r>
            <w:r>
              <w:rPr>
                <w:rFonts w:hint="eastAsia"/>
                <w:sz w:val="18"/>
                <w:szCs w:val="18"/>
              </w:rPr>
              <w:t>课件</w:t>
            </w:r>
          </w:p>
          <w:p>
            <w:pPr>
              <w:spacing w:line="240" w:lineRule="auto"/>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视频资源</w:t>
            </w:r>
          </w:p>
        </w:tc>
        <w:tc>
          <w:tcPr>
            <w:tcW w:w="1822" w:type="dxa"/>
            <w:shd w:val="clear" w:color="auto" w:fill="auto"/>
            <w:noWrap w:val="0"/>
            <w:vAlign w:val="center"/>
          </w:tcPr>
          <w:p>
            <w:pPr>
              <w:spacing w:line="240" w:lineRule="auto"/>
              <w:jc w:val="left"/>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感知制度优势，强化国家认同与民族情怀。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shd w:val="clear" w:color="auto" w:fill="auto"/>
            <w:noWrap w:val="0"/>
            <w:vAlign w:val="center"/>
          </w:tcPr>
          <w:p>
            <w:pPr>
              <w:spacing w:line="240" w:lineRule="auto"/>
              <w:jc w:val="center"/>
              <w:rPr>
                <w:rFonts w:hint="eastAsia" w:ascii="Times New Roman" w:hAnsi="Times New Roman" w:eastAsia="宋体" w:cs="Times New Roman"/>
                <w:kern w:val="2"/>
                <w:sz w:val="18"/>
                <w:szCs w:val="18"/>
                <w:lang w:val="en-US" w:eastAsia="zh-CN" w:bidi="ar-SA"/>
              </w:rPr>
            </w:pPr>
          </w:p>
        </w:tc>
        <w:tc>
          <w:tcPr>
            <w:tcW w:w="660" w:type="dxa"/>
            <w:vMerge w:val="continue"/>
            <w:shd w:val="clear" w:color="auto" w:fill="auto"/>
            <w:noWrap w:val="0"/>
            <w:vAlign w:val="center"/>
          </w:tcPr>
          <w:p>
            <w:pPr>
              <w:spacing w:line="240" w:lineRule="auto"/>
              <w:jc w:val="center"/>
              <w:rPr>
                <w:rFonts w:hint="eastAsia" w:ascii="Times New Roman" w:hAnsi="Times New Roman" w:eastAsia="宋体" w:cs="Times New Roman"/>
                <w:kern w:val="2"/>
                <w:sz w:val="18"/>
                <w:szCs w:val="18"/>
                <w:lang w:val="en-US" w:eastAsia="zh-CN" w:bidi="ar-SA"/>
              </w:rPr>
            </w:pPr>
          </w:p>
        </w:tc>
        <w:tc>
          <w:tcPr>
            <w:tcW w:w="1735" w:type="dxa"/>
            <w:shd w:val="clear" w:color="auto" w:fill="auto"/>
            <w:noWrap w:val="0"/>
            <w:vAlign w:val="center"/>
          </w:tcPr>
          <w:p>
            <w:pPr>
              <w:spacing w:line="240" w:lineRule="auto"/>
              <w:jc w:val="center"/>
              <w:rPr>
                <w:rFonts w:hint="eastAsia"/>
                <w:sz w:val="18"/>
                <w:szCs w:val="18"/>
                <w:lang w:val="en-US" w:eastAsia="zh-CN"/>
              </w:rPr>
            </w:pPr>
            <w:r>
              <w:rPr>
                <w:rFonts w:hint="eastAsia"/>
                <w:sz w:val="18"/>
                <w:szCs w:val="18"/>
                <w:lang w:val="en-US" w:eastAsia="zh-CN"/>
              </w:rPr>
              <w:t>情境创设</w:t>
            </w:r>
          </w:p>
          <w:p>
            <w:pPr>
              <w:spacing w:line="240" w:lineRule="auto"/>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案例填充</w:t>
            </w:r>
          </w:p>
        </w:tc>
        <w:tc>
          <w:tcPr>
            <w:tcW w:w="1822" w:type="dxa"/>
            <w:shd w:val="clear" w:color="auto" w:fill="auto"/>
            <w:noWrap w:val="0"/>
            <w:vAlign w:val="center"/>
          </w:tcPr>
          <w:p>
            <w:pPr>
              <w:spacing w:line="240" w:lineRule="auto"/>
              <w:jc w:val="left"/>
              <w:rPr>
                <w:rFonts w:hint="default" w:cs="Times New Roman"/>
                <w:kern w:val="2"/>
                <w:sz w:val="18"/>
                <w:szCs w:val="18"/>
                <w:lang w:val="en-US" w:eastAsia="zh-CN" w:bidi="ar-SA"/>
              </w:rPr>
            </w:pPr>
            <w:r>
              <w:rPr>
                <w:rFonts w:hint="eastAsia"/>
                <w:sz w:val="18"/>
                <w:szCs w:val="18"/>
                <w:lang w:val="en-US" w:eastAsia="zh-CN"/>
              </w:rPr>
              <w:t>演示常用</w:t>
            </w:r>
            <w:r>
              <w:rPr>
                <w:rFonts w:hint="eastAsia"/>
                <w:sz w:val="18"/>
                <w:szCs w:val="18"/>
              </w:rPr>
              <w:t>自然疗法</w:t>
            </w:r>
            <w:r>
              <w:rPr>
                <w:rFonts w:hint="eastAsia"/>
                <w:sz w:val="18"/>
                <w:szCs w:val="18"/>
                <w:lang w:val="en-US" w:eastAsia="zh-CN"/>
              </w:rPr>
              <w:t>治疗技术，规范技术操作以避免资源破坏，解析乌梁素海水质治理之路。</w:t>
            </w:r>
          </w:p>
        </w:tc>
        <w:tc>
          <w:tcPr>
            <w:tcW w:w="1822" w:type="dxa"/>
            <w:shd w:val="clear" w:color="auto" w:fill="auto"/>
            <w:noWrap w:val="0"/>
            <w:vAlign w:val="center"/>
          </w:tcPr>
          <w:p>
            <w:pPr>
              <w:spacing w:line="240" w:lineRule="auto"/>
              <w:jc w:val="center"/>
              <w:rPr>
                <w:rFonts w:hint="eastAsia"/>
                <w:sz w:val="18"/>
                <w:szCs w:val="18"/>
              </w:rPr>
            </w:pPr>
            <w:r>
              <w:rPr>
                <w:rFonts w:hint="eastAsia"/>
                <w:sz w:val="18"/>
                <w:szCs w:val="18"/>
                <w:lang w:val="en-US" w:eastAsia="zh-CN"/>
              </w:rPr>
              <w:t>教学</w:t>
            </w:r>
            <w:r>
              <w:rPr>
                <w:rFonts w:hint="eastAsia"/>
                <w:sz w:val="18"/>
                <w:szCs w:val="18"/>
              </w:rPr>
              <w:t>课件</w:t>
            </w:r>
          </w:p>
          <w:p>
            <w:pPr>
              <w:spacing w:line="240" w:lineRule="auto"/>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视频资源</w:t>
            </w:r>
          </w:p>
          <w:p>
            <w:pPr>
              <w:spacing w:line="240" w:lineRule="auto"/>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实训设备</w:t>
            </w:r>
          </w:p>
        </w:tc>
        <w:tc>
          <w:tcPr>
            <w:tcW w:w="1822" w:type="dxa"/>
            <w:shd w:val="clear" w:color="auto" w:fill="auto"/>
            <w:noWrap w:val="0"/>
            <w:vAlign w:val="center"/>
          </w:tcPr>
          <w:p>
            <w:pPr>
              <w:spacing w:line="240" w:lineRule="auto"/>
              <w:jc w:val="left"/>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培养可持续的发展眼光，巩固生态文明意识。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59" w:type="dxa"/>
            <w:vMerge w:val="continue"/>
            <w:shd w:val="clear" w:color="auto" w:fill="auto"/>
            <w:noWrap w:val="0"/>
            <w:vAlign w:val="center"/>
          </w:tcPr>
          <w:p>
            <w:pPr>
              <w:spacing w:line="240" w:lineRule="auto"/>
              <w:jc w:val="center"/>
              <w:rPr>
                <w:rFonts w:hint="eastAsia" w:ascii="Times New Roman" w:hAnsi="Times New Roman" w:eastAsia="宋体" w:cs="Times New Roman"/>
                <w:kern w:val="2"/>
                <w:sz w:val="18"/>
                <w:szCs w:val="18"/>
                <w:lang w:val="en-US" w:eastAsia="zh-CN" w:bidi="ar-SA"/>
              </w:rPr>
            </w:pPr>
          </w:p>
        </w:tc>
        <w:tc>
          <w:tcPr>
            <w:tcW w:w="660" w:type="dxa"/>
            <w:shd w:val="clear" w:color="auto" w:fill="auto"/>
            <w:noWrap w:val="0"/>
            <w:vAlign w:val="center"/>
          </w:tcPr>
          <w:p>
            <w:pPr>
              <w:spacing w:line="240" w:lineRule="auto"/>
              <w:jc w:val="center"/>
              <w:rPr>
                <w:rFonts w:hint="eastAsia"/>
                <w:sz w:val="18"/>
                <w:szCs w:val="18"/>
                <w:lang w:val="en-US" w:eastAsia="zh-CN"/>
              </w:rPr>
            </w:pPr>
            <w:r>
              <w:rPr>
                <w:rFonts w:hint="eastAsia"/>
                <w:sz w:val="18"/>
                <w:szCs w:val="18"/>
                <w:lang w:val="en-US" w:eastAsia="zh-CN"/>
              </w:rPr>
              <w:t>小结</w:t>
            </w:r>
          </w:p>
        </w:tc>
        <w:tc>
          <w:tcPr>
            <w:tcW w:w="1735" w:type="dxa"/>
            <w:shd w:val="clear" w:color="auto" w:fill="auto"/>
            <w:noWrap w:val="0"/>
            <w:vAlign w:val="center"/>
          </w:tcPr>
          <w:p>
            <w:pPr>
              <w:spacing w:line="240" w:lineRule="auto"/>
              <w:jc w:val="center"/>
              <w:rPr>
                <w:rFonts w:hint="eastAsia"/>
                <w:sz w:val="18"/>
                <w:szCs w:val="18"/>
                <w:lang w:val="en-US" w:eastAsia="zh-CN"/>
              </w:rPr>
            </w:pPr>
            <w:r>
              <w:rPr>
                <w:rFonts w:hint="eastAsia"/>
                <w:sz w:val="18"/>
                <w:szCs w:val="18"/>
                <w:lang w:val="en-US" w:eastAsia="zh-CN"/>
              </w:rPr>
              <w:t>梳理总结</w:t>
            </w:r>
          </w:p>
          <w:p>
            <w:pPr>
              <w:spacing w:line="240" w:lineRule="auto"/>
              <w:jc w:val="center"/>
              <w:rPr>
                <w:rFonts w:hint="default"/>
                <w:sz w:val="18"/>
                <w:szCs w:val="18"/>
                <w:lang w:val="en-US" w:eastAsia="zh-CN"/>
              </w:rPr>
            </w:pPr>
            <w:r>
              <w:rPr>
                <w:rFonts w:hint="eastAsia"/>
                <w:sz w:val="18"/>
                <w:szCs w:val="18"/>
                <w:lang w:val="en-US" w:eastAsia="zh-CN"/>
              </w:rPr>
              <w:t>升华情感</w:t>
            </w:r>
          </w:p>
        </w:tc>
        <w:tc>
          <w:tcPr>
            <w:tcW w:w="1822" w:type="dxa"/>
            <w:shd w:val="clear" w:color="auto" w:fill="auto"/>
            <w:noWrap w:val="0"/>
            <w:vAlign w:val="center"/>
          </w:tcPr>
          <w:p>
            <w:pPr>
              <w:spacing w:line="240" w:lineRule="auto"/>
              <w:jc w:val="left"/>
              <w:rPr>
                <w:rFonts w:hint="default"/>
                <w:sz w:val="18"/>
                <w:szCs w:val="18"/>
                <w:lang w:val="en-US"/>
              </w:rPr>
            </w:pPr>
            <w:r>
              <w:rPr>
                <w:rFonts w:hint="eastAsia"/>
                <w:sz w:val="18"/>
                <w:szCs w:val="18"/>
                <w:lang w:val="en-US" w:eastAsia="zh-CN"/>
              </w:rPr>
              <w:t>总结</w:t>
            </w:r>
            <w:r>
              <w:rPr>
                <w:rFonts w:hint="eastAsia"/>
                <w:sz w:val="18"/>
                <w:szCs w:val="18"/>
              </w:rPr>
              <w:t>自然疗法</w:t>
            </w:r>
            <w:r>
              <w:rPr>
                <w:rFonts w:hint="eastAsia"/>
                <w:sz w:val="18"/>
                <w:szCs w:val="18"/>
                <w:lang w:val="en-US" w:eastAsia="zh-CN"/>
              </w:rPr>
              <w:t>的特点，串联课堂知识，明确</w:t>
            </w:r>
            <w:r>
              <w:rPr>
                <w:rFonts w:hint="eastAsia" w:ascii="Times New Roman" w:hAnsi="Times New Roman" w:cs="Times New Roman"/>
                <w:sz w:val="18"/>
                <w:szCs w:val="18"/>
                <w:lang w:val="en-US" w:eastAsia="zh-CN"/>
              </w:rPr>
              <w:t>生态环境在自然疗法中的决定地位</w:t>
            </w:r>
            <w:r>
              <w:rPr>
                <w:rFonts w:hint="eastAsia" w:cs="Times New Roman"/>
                <w:sz w:val="18"/>
                <w:szCs w:val="18"/>
                <w:lang w:val="en-US" w:eastAsia="zh-CN"/>
              </w:rPr>
              <w:t>。</w:t>
            </w:r>
          </w:p>
        </w:tc>
        <w:tc>
          <w:tcPr>
            <w:tcW w:w="1822" w:type="dxa"/>
            <w:shd w:val="clear" w:color="auto" w:fill="auto"/>
            <w:noWrap w:val="0"/>
            <w:vAlign w:val="center"/>
          </w:tcPr>
          <w:p>
            <w:pPr>
              <w:spacing w:line="240" w:lineRule="auto"/>
              <w:jc w:val="center"/>
              <w:rPr>
                <w:rFonts w:hint="eastAsia"/>
                <w:sz w:val="18"/>
                <w:szCs w:val="18"/>
              </w:rPr>
            </w:pPr>
            <w:r>
              <w:rPr>
                <w:rFonts w:hint="eastAsia"/>
                <w:sz w:val="18"/>
                <w:szCs w:val="18"/>
                <w:lang w:val="en-US" w:eastAsia="zh-CN"/>
              </w:rPr>
              <w:t>教学</w:t>
            </w:r>
            <w:r>
              <w:rPr>
                <w:rFonts w:hint="eastAsia"/>
                <w:sz w:val="18"/>
                <w:szCs w:val="18"/>
              </w:rPr>
              <w:t>课件</w:t>
            </w:r>
          </w:p>
          <w:p>
            <w:pPr>
              <w:spacing w:line="240" w:lineRule="auto"/>
              <w:jc w:val="center"/>
              <w:rPr>
                <w:rFonts w:hint="eastAsia" w:ascii="Times New Roman" w:hAnsi="Times New Roman" w:eastAsia="宋体" w:cs="Times New Roman"/>
                <w:kern w:val="2"/>
                <w:sz w:val="18"/>
                <w:szCs w:val="18"/>
                <w:lang w:val="en-US" w:eastAsia="zh-CN" w:bidi="ar-SA"/>
              </w:rPr>
            </w:pPr>
            <w:r>
              <w:rPr>
                <w:rFonts w:hint="eastAsia"/>
                <w:sz w:val="18"/>
                <w:szCs w:val="18"/>
              </w:rPr>
              <w:t>思维导图</w:t>
            </w:r>
          </w:p>
        </w:tc>
        <w:tc>
          <w:tcPr>
            <w:tcW w:w="1822" w:type="dxa"/>
            <w:shd w:val="clear" w:color="auto" w:fill="auto"/>
            <w:noWrap w:val="0"/>
            <w:vAlign w:val="center"/>
          </w:tcPr>
          <w:p>
            <w:pPr>
              <w:spacing w:line="240" w:lineRule="auto"/>
              <w:jc w:val="left"/>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负担生态文明社会责任，发展全球化眼光。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319" w:type="dxa"/>
            <w:gridSpan w:val="2"/>
            <w:shd w:val="clear" w:color="auto" w:fill="auto"/>
            <w:noWrap w:val="0"/>
            <w:vAlign w:val="center"/>
          </w:tcPr>
          <w:p>
            <w:pPr>
              <w:spacing w:line="240" w:lineRule="auto"/>
              <w:jc w:val="center"/>
              <w:rPr>
                <w:rFonts w:hint="default"/>
                <w:sz w:val="18"/>
                <w:szCs w:val="18"/>
                <w:lang w:val="en-US" w:eastAsia="zh-CN"/>
              </w:rPr>
            </w:pPr>
            <w:r>
              <w:rPr>
                <w:rFonts w:hint="eastAsia"/>
                <w:sz w:val="18"/>
                <w:szCs w:val="18"/>
                <w:lang w:val="en-US" w:eastAsia="zh-CN"/>
              </w:rPr>
              <w:t>课后拓展</w:t>
            </w:r>
          </w:p>
        </w:tc>
        <w:tc>
          <w:tcPr>
            <w:tcW w:w="1735" w:type="dxa"/>
            <w:shd w:val="clear" w:color="auto" w:fill="auto"/>
            <w:noWrap w:val="0"/>
            <w:vAlign w:val="center"/>
          </w:tcPr>
          <w:p>
            <w:pPr>
              <w:spacing w:line="240" w:lineRule="auto"/>
              <w:jc w:val="center"/>
              <w:rPr>
                <w:rFonts w:hint="eastAsia" w:cs="Times New Roman"/>
                <w:kern w:val="2"/>
                <w:sz w:val="18"/>
                <w:szCs w:val="18"/>
                <w:lang w:val="en-US" w:eastAsia="zh-CN" w:bidi="ar-SA"/>
              </w:rPr>
            </w:pPr>
            <w:r>
              <w:rPr>
                <w:rFonts w:hint="eastAsia" w:cs="Times New Roman"/>
                <w:kern w:val="2"/>
                <w:sz w:val="18"/>
                <w:szCs w:val="18"/>
                <w:lang w:val="en-US" w:eastAsia="zh-CN" w:bidi="ar-SA"/>
              </w:rPr>
              <w:t>情景体验</w:t>
            </w:r>
          </w:p>
          <w:p>
            <w:pPr>
              <w:spacing w:line="240" w:lineRule="auto"/>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实践延伸</w:t>
            </w:r>
          </w:p>
        </w:tc>
        <w:tc>
          <w:tcPr>
            <w:tcW w:w="1822" w:type="dxa"/>
            <w:shd w:val="clear" w:color="auto" w:fill="auto"/>
            <w:noWrap w:val="0"/>
            <w:vAlign w:val="center"/>
          </w:tcPr>
          <w:p>
            <w:pPr>
              <w:spacing w:line="240" w:lineRule="auto"/>
              <w:jc w:val="left"/>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布置</w:t>
            </w:r>
            <w:r>
              <w:rPr>
                <w:rFonts w:hint="eastAsia"/>
                <w:sz w:val="18"/>
                <w:szCs w:val="18"/>
              </w:rPr>
              <w:t>自然疗法</w:t>
            </w:r>
            <w:r>
              <w:rPr>
                <w:rFonts w:hint="eastAsia" w:cs="Times New Roman"/>
                <w:kern w:val="2"/>
                <w:sz w:val="18"/>
                <w:szCs w:val="18"/>
                <w:lang w:val="en-US" w:eastAsia="zh-CN" w:bidi="ar-SA"/>
              </w:rPr>
              <w:t>体验任务，分组拍摄视频作业上传教学平台。</w:t>
            </w:r>
          </w:p>
        </w:tc>
        <w:tc>
          <w:tcPr>
            <w:tcW w:w="1822" w:type="dxa"/>
            <w:shd w:val="clear" w:color="auto" w:fill="auto"/>
            <w:noWrap w:val="0"/>
            <w:vAlign w:val="center"/>
          </w:tcPr>
          <w:p>
            <w:pPr>
              <w:spacing w:line="240" w:lineRule="auto"/>
              <w:jc w:val="center"/>
              <w:rPr>
                <w:rFonts w:hint="eastAsia"/>
                <w:sz w:val="18"/>
                <w:szCs w:val="18"/>
                <w:lang w:val="en-US" w:eastAsia="zh-CN"/>
              </w:rPr>
            </w:pPr>
            <w:r>
              <w:rPr>
                <w:rFonts w:hint="eastAsia"/>
                <w:sz w:val="18"/>
                <w:szCs w:val="18"/>
                <w:lang w:val="en-US" w:eastAsia="zh-CN"/>
              </w:rPr>
              <w:t>第二课堂</w:t>
            </w:r>
          </w:p>
          <w:p>
            <w:pPr>
              <w:spacing w:line="240" w:lineRule="auto"/>
              <w:jc w:val="center"/>
              <w:rPr>
                <w:rFonts w:hint="eastAsia"/>
                <w:sz w:val="18"/>
                <w:szCs w:val="18"/>
                <w:lang w:val="en-US" w:eastAsia="zh-CN"/>
              </w:rPr>
            </w:pPr>
            <w:r>
              <w:rPr>
                <w:rFonts w:hint="eastAsia"/>
                <w:sz w:val="18"/>
                <w:szCs w:val="18"/>
                <w:lang w:val="en-US" w:eastAsia="zh-CN"/>
              </w:rPr>
              <w:t>教学平台</w:t>
            </w:r>
          </w:p>
        </w:tc>
        <w:tc>
          <w:tcPr>
            <w:tcW w:w="1822" w:type="dxa"/>
            <w:shd w:val="clear" w:color="auto" w:fill="auto"/>
            <w:noWrap w:val="0"/>
            <w:vAlign w:val="center"/>
          </w:tcPr>
          <w:p>
            <w:pPr>
              <w:spacing w:line="240" w:lineRule="auto"/>
              <w:jc w:val="left"/>
              <w:rPr>
                <w:rFonts w:hint="default"/>
                <w:sz w:val="18"/>
                <w:szCs w:val="18"/>
                <w:lang w:val="en-US" w:eastAsia="zh-CN"/>
              </w:rPr>
            </w:pPr>
            <w:r>
              <w:rPr>
                <w:rFonts w:hint="eastAsia"/>
                <w:sz w:val="18"/>
                <w:szCs w:val="18"/>
                <w:lang w:val="en-US" w:eastAsia="zh-CN"/>
              </w:rPr>
              <w:t>贯彻生态文明建设，充实岗位认知，坚定职业信念。</w:t>
            </w:r>
          </w:p>
        </w:tc>
      </w:tr>
    </w:tbl>
    <w:p>
      <w:pPr>
        <w:numPr>
          <w:ilvl w:val="0"/>
          <w:numId w:val="1"/>
        </w:numPr>
        <w:spacing w:line="400" w:lineRule="exact"/>
        <w:ind w:firstLine="480" w:firstLineChars="200"/>
        <w:rPr>
          <w:rFonts w:hint="eastAsia" w:ascii="黑体" w:eastAsia="黑体"/>
          <w:sz w:val="24"/>
        </w:rPr>
      </w:pPr>
      <w:r>
        <w:rPr>
          <w:rFonts w:hint="eastAsia" w:ascii="黑体" w:eastAsia="黑体"/>
          <w:sz w:val="24"/>
        </w:rPr>
        <w:t>课程思政教学评价</w:t>
      </w:r>
    </w:p>
    <w:p>
      <w:pPr>
        <w:numPr>
          <w:ilvl w:val="0"/>
          <w:numId w:val="0"/>
        </w:numPr>
        <w:spacing w:line="400" w:lineRule="exact"/>
        <w:ind w:firstLine="420" w:firstLineChars="200"/>
        <w:rPr>
          <w:rFonts w:hint="eastAsia"/>
          <w:highlight w:val="none"/>
          <w:lang w:val="en-US" w:eastAsia="zh-CN"/>
        </w:rPr>
      </w:pPr>
      <w:r>
        <w:rPr>
          <w:rFonts w:hint="eastAsia"/>
          <w:highlight w:val="none"/>
          <w:lang w:val="en-US" w:eastAsia="zh-CN"/>
        </w:rPr>
        <w:t>教学效果评价分为形成性评价、终结性评价和增值性评价，由教师、学生、软件记录等评价主体共同完成。</w:t>
      </w:r>
    </w:p>
    <w:p>
      <w:pPr>
        <w:numPr>
          <w:ilvl w:val="0"/>
          <w:numId w:val="27"/>
        </w:numPr>
        <w:spacing w:line="400" w:lineRule="exact"/>
        <w:ind w:firstLine="422" w:firstLineChars="200"/>
        <w:rPr>
          <w:rFonts w:hint="eastAsia"/>
          <w:b/>
        </w:rPr>
      </w:pPr>
      <w:r>
        <w:rPr>
          <w:rFonts w:hint="eastAsia"/>
          <w:b/>
        </w:rPr>
        <w:t>过程性评价</w:t>
      </w:r>
    </w:p>
    <w:p>
      <w:pPr>
        <w:numPr>
          <w:ilvl w:val="0"/>
          <w:numId w:val="0"/>
        </w:numPr>
        <w:spacing w:line="400" w:lineRule="exact"/>
        <w:ind w:firstLine="420" w:firstLineChars="200"/>
        <w:rPr>
          <w:rFonts w:hint="eastAsia"/>
          <w:b/>
        </w:rPr>
      </w:pPr>
      <w:r>
        <w:rPr>
          <w:rFonts w:hint="eastAsia"/>
          <w:highlight w:val="none"/>
          <w:lang w:val="en-US" w:eastAsia="zh-CN"/>
        </w:rPr>
        <w:t>设置过程性评价覆盖课程学习全过程。课前预习阶段，运用教学平台后台数据记录学生浏览相关教学资源的时长、预习任务或习题完成度作为课前过程性评价内容，以任务驱动充分激发学生学习动力、发挥其主观能动性推动专业认知形成；课堂实施环节，开展考勤签到、案例探讨、竞争促进、趣味互动等多元教学活动累积课中过程性评价分值，最大化课程吸引力与思政融合度，同步培育职业技能与素养；课后拓展环节，发起笔记整理、作业巩固、岗位流程体验、拓展第二课堂实践与临床轮岗实习等方式进行课后过程性评价，在夯实课堂实施效果的基础上查缺补漏，进一步发挥思政价值引领效果。</w:t>
      </w:r>
    </w:p>
    <w:p>
      <w:pPr>
        <w:numPr>
          <w:ilvl w:val="0"/>
          <w:numId w:val="27"/>
        </w:numPr>
        <w:spacing w:line="400" w:lineRule="exact"/>
        <w:ind w:firstLine="422" w:firstLineChars="200"/>
        <w:rPr>
          <w:rFonts w:hint="eastAsia"/>
          <w:b/>
        </w:rPr>
      </w:pPr>
      <w:r>
        <w:rPr>
          <w:rFonts w:hint="eastAsia"/>
          <w:b/>
        </w:rPr>
        <w:t>终结性评价</w:t>
      </w:r>
    </w:p>
    <w:p>
      <w:pPr>
        <w:numPr>
          <w:ilvl w:val="0"/>
          <w:numId w:val="0"/>
        </w:numPr>
        <w:spacing w:line="400" w:lineRule="exact"/>
        <w:ind w:firstLine="420" w:firstLineChars="200"/>
        <w:rPr>
          <w:rFonts w:hint="eastAsia"/>
          <w:b/>
        </w:rPr>
      </w:pPr>
      <w:r>
        <w:rPr>
          <w:rFonts w:hint="eastAsia"/>
          <w:highlight w:val="none"/>
          <w:lang w:val="en-US" w:eastAsia="zh-CN"/>
        </w:rPr>
        <w:t>设置章节小测、阶段考核、实训测评等相关评价模块，统计得分按适当比例生成终结性评价，同时推动学生学习习惯优化和综合能力提升。</w:t>
      </w:r>
    </w:p>
    <w:p>
      <w:pPr>
        <w:numPr>
          <w:ilvl w:val="0"/>
          <w:numId w:val="27"/>
        </w:numPr>
        <w:spacing w:line="400" w:lineRule="exact"/>
        <w:ind w:firstLine="422" w:firstLineChars="200"/>
        <w:rPr>
          <w:rFonts w:hint="eastAsia"/>
          <w:b/>
        </w:rPr>
      </w:pPr>
      <w:r>
        <w:rPr>
          <w:rFonts w:hint="eastAsia"/>
          <w:b/>
        </w:rPr>
        <w:t>增值性评价</w:t>
      </w:r>
    </w:p>
    <w:p>
      <w:pPr>
        <w:numPr>
          <w:ilvl w:val="0"/>
          <w:numId w:val="0"/>
        </w:numPr>
        <w:spacing w:line="400" w:lineRule="exact"/>
        <w:ind w:firstLine="420" w:firstLineChars="200"/>
        <w:rPr>
          <w:rFonts w:hint="eastAsia"/>
          <w:highlight w:val="none"/>
          <w:lang w:val="en-US" w:eastAsia="zh-CN"/>
        </w:rPr>
      </w:pPr>
      <w:r>
        <w:rPr>
          <w:rFonts w:hint="eastAsia"/>
          <w:highlight w:val="none"/>
          <w:lang w:val="en-US" w:eastAsia="zh-CN"/>
        </w:rPr>
        <w:t>设置优秀作品展示、学习典型示范、班级氛围带动、课堂积极鼓励及成绩显著提升等加分项目，激励学生主动参与、提升学习体验。</w:t>
      </w:r>
    </w:p>
    <w:p>
      <w:pPr>
        <w:spacing w:line="400" w:lineRule="exact"/>
        <w:jc w:val="center"/>
        <w:rPr>
          <w:rFonts w:hint="eastAsia"/>
          <w:b/>
          <w:sz w:val="18"/>
          <w:szCs w:val="18"/>
        </w:rPr>
      </w:pPr>
      <w:r>
        <w:rPr>
          <w:rFonts w:hint="eastAsia"/>
          <w:b/>
          <w:sz w:val="18"/>
          <w:szCs w:val="18"/>
        </w:rPr>
        <w:t>表3</w:t>
      </w:r>
      <w:r>
        <w:rPr>
          <w:rFonts w:hint="eastAsia"/>
          <w:b/>
          <w:sz w:val="18"/>
          <w:szCs w:val="18"/>
          <w:lang w:val="en-US" w:eastAsia="zh-CN"/>
        </w:rPr>
        <w:t xml:space="preserve">  《物理因子治疗技术》</w:t>
      </w:r>
      <w:r>
        <w:rPr>
          <w:rFonts w:hint="eastAsia"/>
          <w:b/>
          <w:sz w:val="18"/>
          <w:szCs w:val="18"/>
        </w:rPr>
        <w:t>课程考核与评定</w:t>
      </w:r>
    </w:p>
    <w:tbl>
      <w:tblPr>
        <w:tblStyle w:val="3"/>
        <w:tblW w:w="84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4"/>
        <w:gridCol w:w="2835"/>
        <w:gridCol w:w="850"/>
        <w:gridCol w:w="850"/>
        <w:gridCol w:w="2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59" w:type="dxa"/>
            <w:gridSpan w:val="2"/>
            <w:shd w:val="clear" w:color="auto" w:fill="auto"/>
            <w:noWrap w:val="0"/>
            <w:vAlign w:val="top"/>
          </w:tcPr>
          <w:p>
            <w:pPr>
              <w:spacing w:line="240" w:lineRule="auto"/>
              <w:jc w:val="center"/>
              <w:rPr>
                <w:rFonts w:hint="eastAsia"/>
                <w:b/>
                <w:sz w:val="18"/>
                <w:szCs w:val="18"/>
              </w:rPr>
            </w:pPr>
            <w:r>
              <w:rPr>
                <w:rFonts w:hint="eastAsia"/>
                <w:b/>
                <w:sz w:val="18"/>
                <w:szCs w:val="18"/>
              </w:rPr>
              <w:t>考核项目</w:t>
            </w:r>
          </w:p>
        </w:tc>
        <w:tc>
          <w:tcPr>
            <w:tcW w:w="850" w:type="dxa"/>
            <w:shd w:val="clear" w:color="auto" w:fill="auto"/>
            <w:noWrap w:val="0"/>
            <w:vAlign w:val="top"/>
          </w:tcPr>
          <w:p>
            <w:pPr>
              <w:spacing w:line="240" w:lineRule="auto"/>
              <w:jc w:val="center"/>
              <w:rPr>
                <w:rFonts w:hint="eastAsia" w:eastAsia="宋体"/>
                <w:b/>
                <w:sz w:val="18"/>
                <w:szCs w:val="18"/>
                <w:lang w:val="en-US" w:eastAsia="zh-CN"/>
              </w:rPr>
            </w:pPr>
            <w:r>
              <w:rPr>
                <w:rFonts w:hint="eastAsia"/>
                <w:b/>
                <w:sz w:val="18"/>
                <w:szCs w:val="18"/>
                <w:lang w:val="en-US" w:eastAsia="zh-CN"/>
              </w:rPr>
              <w:t>分值</w:t>
            </w:r>
          </w:p>
        </w:tc>
        <w:tc>
          <w:tcPr>
            <w:tcW w:w="850" w:type="dxa"/>
            <w:shd w:val="clear" w:color="auto" w:fill="auto"/>
            <w:noWrap w:val="0"/>
            <w:vAlign w:val="top"/>
          </w:tcPr>
          <w:p>
            <w:pPr>
              <w:spacing w:line="240" w:lineRule="auto"/>
              <w:jc w:val="center"/>
              <w:rPr>
                <w:rFonts w:hint="eastAsia"/>
                <w:b/>
                <w:sz w:val="18"/>
                <w:szCs w:val="18"/>
              </w:rPr>
            </w:pPr>
            <w:r>
              <w:rPr>
                <w:rFonts w:hint="eastAsia"/>
                <w:b/>
                <w:sz w:val="18"/>
                <w:szCs w:val="18"/>
              </w:rPr>
              <w:t>占比</w:t>
            </w:r>
          </w:p>
        </w:tc>
        <w:tc>
          <w:tcPr>
            <w:tcW w:w="2674" w:type="dxa"/>
            <w:shd w:val="clear" w:color="auto" w:fill="auto"/>
            <w:noWrap w:val="0"/>
            <w:vAlign w:val="top"/>
          </w:tcPr>
          <w:p>
            <w:pPr>
              <w:spacing w:line="240" w:lineRule="auto"/>
              <w:jc w:val="center"/>
              <w:rPr>
                <w:rFonts w:hint="eastAsia"/>
                <w:sz w:val="18"/>
                <w:szCs w:val="18"/>
              </w:rPr>
            </w:pPr>
            <w:r>
              <w:rPr>
                <w:rFonts w:hint="eastAsia"/>
                <w:b/>
                <w:sz w:val="18"/>
                <w:szCs w:val="18"/>
              </w:rPr>
              <w:t>考核时间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4" w:type="dxa"/>
            <w:shd w:val="clear" w:color="auto" w:fill="auto"/>
            <w:noWrap w:val="0"/>
            <w:vAlign w:val="center"/>
          </w:tcPr>
          <w:p>
            <w:pPr>
              <w:spacing w:line="240" w:lineRule="auto"/>
              <w:jc w:val="center"/>
              <w:rPr>
                <w:rFonts w:hint="eastAsia"/>
                <w:sz w:val="18"/>
                <w:szCs w:val="18"/>
              </w:rPr>
            </w:pPr>
            <w:r>
              <w:rPr>
                <w:rFonts w:hint="eastAsia"/>
                <w:sz w:val="18"/>
                <w:szCs w:val="18"/>
              </w:rPr>
              <w:t>过程性评价</w:t>
            </w:r>
          </w:p>
        </w:tc>
        <w:tc>
          <w:tcPr>
            <w:tcW w:w="2835" w:type="dxa"/>
            <w:shd w:val="clear" w:color="auto" w:fill="auto"/>
            <w:noWrap w:val="0"/>
            <w:vAlign w:val="center"/>
          </w:tcPr>
          <w:p>
            <w:pPr>
              <w:spacing w:line="240" w:lineRule="auto"/>
              <w:jc w:val="left"/>
              <w:rPr>
                <w:rFonts w:hint="eastAsia" w:eastAsia="宋体"/>
                <w:sz w:val="18"/>
                <w:szCs w:val="18"/>
                <w:lang w:val="en-US" w:eastAsia="zh-CN"/>
              </w:rPr>
            </w:pPr>
            <w:r>
              <w:rPr>
                <w:rFonts w:hint="eastAsia"/>
                <w:sz w:val="18"/>
                <w:szCs w:val="18"/>
              </w:rPr>
              <w:t>课前教学平台浏览时长、预习任务或习题完成度</w:t>
            </w:r>
            <w:r>
              <w:rPr>
                <w:rFonts w:hint="eastAsia"/>
                <w:sz w:val="18"/>
                <w:szCs w:val="18"/>
                <w:lang w:eastAsia="zh-CN"/>
              </w:rPr>
              <w:t>、</w:t>
            </w:r>
            <w:r>
              <w:rPr>
                <w:rFonts w:hint="eastAsia"/>
                <w:sz w:val="18"/>
                <w:szCs w:val="18"/>
                <w:lang w:val="en-US" w:eastAsia="zh-CN"/>
              </w:rPr>
              <w:t>课堂</w:t>
            </w:r>
            <w:r>
              <w:rPr>
                <w:rFonts w:hint="eastAsia"/>
                <w:sz w:val="18"/>
                <w:szCs w:val="18"/>
              </w:rPr>
              <w:t>考勤签到、案例探讨、竞争促进、趣味互动</w:t>
            </w:r>
            <w:r>
              <w:rPr>
                <w:rFonts w:hint="eastAsia"/>
                <w:sz w:val="18"/>
                <w:szCs w:val="18"/>
                <w:lang w:eastAsia="zh-CN"/>
              </w:rPr>
              <w:t>、</w:t>
            </w:r>
            <w:r>
              <w:rPr>
                <w:rFonts w:hint="eastAsia"/>
                <w:sz w:val="18"/>
                <w:szCs w:val="18"/>
              </w:rPr>
              <w:t>课后笔记整理、作业巩固、岗位流程体验、拓展第二课堂实践</w:t>
            </w:r>
            <w:r>
              <w:rPr>
                <w:rFonts w:hint="eastAsia"/>
                <w:sz w:val="18"/>
                <w:szCs w:val="18"/>
                <w:lang w:eastAsia="zh-CN"/>
              </w:rPr>
              <w:t>、</w:t>
            </w:r>
            <w:r>
              <w:rPr>
                <w:rFonts w:hint="eastAsia"/>
                <w:sz w:val="18"/>
                <w:szCs w:val="18"/>
              </w:rPr>
              <w:t>临床轮岗实习等</w:t>
            </w:r>
          </w:p>
        </w:tc>
        <w:tc>
          <w:tcPr>
            <w:tcW w:w="850" w:type="dxa"/>
            <w:shd w:val="clear" w:color="auto" w:fill="auto"/>
            <w:noWrap w:val="0"/>
            <w:vAlign w:val="center"/>
          </w:tcPr>
          <w:p>
            <w:pPr>
              <w:spacing w:line="240" w:lineRule="auto"/>
              <w:jc w:val="center"/>
              <w:rPr>
                <w:rFonts w:hint="default" w:eastAsia="宋体"/>
                <w:sz w:val="18"/>
                <w:szCs w:val="18"/>
                <w:lang w:val="en-US" w:eastAsia="zh-CN"/>
              </w:rPr>
            </w:pPr>
            <w:r>
              <w:rPr>
                <w:rFonts w:hint="eastAsia"/>
                <w:sz w:val="18"/>
                <w:szCs w:val="18"/>
                <w:lang w:val="en-US" w:eastAsia="zh-CN"/>
              </w:rPr>
              <w:t>100</w:t>
            </w:r>
          </w:p>
        </w:tc>
        <w:tc>
          <w:tcPr>
            <w:tcW w:w="850" w:type="dxa"/>
            <w:shd w:val="clear" w:color="auto" w:fill="auto"/>
            <w:noWrap w:val="0"/>
            <w:vAlign w:val="center"/>
          </w:tcPr>
          <w:p>
            <w:pPr>
              <w:spacing w:line="240" w:lineRule="auto"/>
              <w:jc w:val="center"/>
              <w:rPr>
                <w:rFonts w:hint="default"/>
                <w:sz w:val="18"/>
                <w:szCs w:val="18"/>
                <w:lang w:val="en-US" w:eastAsia="zh-CN"/>
              </w:rPr>
            </w:pPr>
            <w:r>
              <w:rPr>
                <w:rFonts w:hint="eastAsia"/>
                <w:sz w:val="18"/>
                <w:szCs w:val="18"/>
                <w:lang w:val="en-US" w:eastAsia="zh-CN"/>
              </w:rPr>
              <w:t>40%</w:t>
            </w:r>
          </w:p>
        </w:tc>
        <w:tc>
          <w:tcPr>
            <w:tcW w:w="2674" w:type="dxa"/>
            <w:shd w:val="clear" w:color="auto" w:fill="auto"/>
            <w:noWrap w:val="0"/>
            <w:vAlign w:val="center"/>
          </w:tcPr>
          <w:p>
            <w:pPr>
              <w:spacing w:line="240" w:lineRule="auto"/>
              <w:jc w:val="center"/>
              <w:rPr>
                <w:rFonts w:hint="default" w:eastAsia="宋体"/>
                <w:sz w:val="18"/>
                <w:szCs w:val="18"/>
                <w:lang w:val="en-US" w:eastAsia="zh-CN"/>
              </w:rPr>
            </w:pPr>
            <w:r>
              <w:rPr>
                <w:rFonts w:hint="eastAsia"/>
                <w:sz w:val="18"/>
                <w:szCs w:val="18"/>
                <w:lang w:val="en-US" w:eastAsia="zh-CN"/>
              </w:rPr>
              <w:t>课程学习全过程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4" w:type="dxa"/>
            <w:shd w:val="clear" w:color="auto" w:fill="auto"/>
            <w:noWrap w:val="0"/>
            <w:vAlign w:val="center"/>
          </w:tcPr>
          <w:p>
            <w:pPr>
              <w:spacing w:line="240" w:lineRule="auto"/>
              <w:jc w:val="center"/>
              <w:rPr>
                <w:rFonts w:hint="eastAsia"/>
                <w:sz w:val="18"/>
                <w:szCs w:val="18"/>
              </w:rPr>
            </w:pPr>
            <w:r>
              <w:rPr>
                <w:rFonts w:hint="eastAsia"/>
                <w:sz w:val="18"/>
                <w:szCs w:val="18"/>
                <w:lang w:val="en-US" w:eastAsia="zh-CN"/>
              </w:rPr>
              <w:t>终结</w:t>
            </w:r>
            <w:r>
              <w:rPr>
                <w:rFonts w:hint="eastAsia"/>
                <w:sz w:val="18"/>
                <w:szCs w:val="18"/>
              </w:rPr>
              <w:t>性评价</w:t>
            </w:r>
          </w:p>
        </w:tc>
        <w:tc>
          <w:tcPr>
            <w:tcW w:w="2835" w:type="dxa"/>
            <w:shd w:val="clear" w:color="auto" w:fill="auto"/>
            <w:noWrap w:val="0"/>
            <w:vAlign w:val="center"/>
          </w:tcPr>
          <w:p>
            <w:pPr>
              <w:spacing w:line="240" w:lineRule="auto"/>
              <w:jc w:val="left"/>
              <w:rPr>
                <w:rFonts w:hint="eastAsia"/>
                <w:sz w:val="18"/>
                <w:szCs w:val="18"/>
              </w:rPr>
            </w:pPr>
            <w:r>
              <w:rPr>
                <w:rFonts w:hint="eastAsia"/>
                <w:sz w:val="18"/>
                <w:szCs w:val="18"/>
              </w:rPr>
              <w:t>章节小测、阶段考核、实训测评等</w:t>
            </w:r>
          </w:p>
        </w:tc>
        <w:tc>
          <w:tcPr>
            <w:tcW w:w="850" w:type="dxa"/>
            <w:shd w:val="clear" w:color="auto" w:fill="auto"/>
            <w:noWrap w:val="0"/>
            <w:vAlign w:val="center"/>
          </w:tcPr>
          <w:p>
            <w:pPr>
              <w:spacing w:line="240" w:lineRule="auto"/>
              <w:jc w:val="center"/>
              <w:rPr>
                <w:rFonts w:hint="eastAsia"/>
                <w:sz w:val="18"/>
                <w:szCs w:val="18"/>
              </w:rPr>
            </w:pPr>
            <w:r>
              <w:rPr>
                <w:rFonts w:hint="eastAsia"/>
                <w:sz w:val="18"/>
                <w:szCs w:val="18"/>
                <w:lang w:val="en-US" w:eastAsia="zh-CN"/>
              </w:rPr>
              <w:t>100</w:t>
            </w:r>
          </w:p>
        </w:tc>
        <w:tc>
          <w:tcPr>
            <w:tcW w:w="850" w:type="dxa"/>
            <w:shd w:val="clear" w:color="auto" w:fill="auto"/>
            <w:noWrap w:val="0"/>
            <w:vAlign w:val="center"/>
          </w:tcPr>
          <w:p>
            <w:pPr>
              <w:spacing w:line="240" w:lineRule="auto"/>
              <w:jc w:val="center"/>
              <w:rPr>
                <w:rFonts w:hint="default" w:eastAsia="宋体"/>
                <w:sz w:val="18"/>
                <w:szCs w:val="18"/>
                <w:lang w:val="en-US" w:eastAsia="zh-CN"/>
              </w:rPr>
            </w:pPr>
            <w:r>
              <w:rPr>
                <w:rFonts w:hint="eastAsia"/>
                <w:sz w:val="18"/>
                <w:szCs w:val="18"/>
                <w:lang w:val="en-US" w:eastAsia="zh-CN"/>
              </w:rPr>
              <w:t>55%</w:t>
            </w:r>
          </w:p>
        </w:tc>
        <w:tc>
          <w:tcPr>
            <w:tcW w:w="2674" w:type="dxa"/>
            <w:shd w:val="clear" w:color="auto" w:fill="auto"/>
            <w:noWrap w:val="0"/>
            <w:vAlign w:val="center"/>
          </w:tcPr>
          <w:p>
            <w:pPr>
              <w:spacing w:line="240" w:lineRule="auto"/>
              <w:jc w:val="center"/>
              <w:rPr>
                <w:rFonts w:hint="default" w:eastAsia="宋体"/>
                <w:sz w:val="18"/>
                <w:szCs w:val="18"/>
                <w:lang w:val="en-US" w:eastAsia="zh-CN"/>
              </w:rPr>
            </w:pPr>
            <w:r>
              <w:rPr>
                <w:rFonts w:hint="eastAsia"/>
                <w:sz w:val="18"/>
                <w:szCs w:val="18"/>
              </w:rPr>
              <w:t>阶段考核</w:t>
            </w:r>
            <w:r>
              <w:rPr>
                <w:rFonts w:hint="eastAsia"/>
                <w:sz w:val="18"/>
                <w:szCs w:val="18"/>
                <w:lang w:val="en-US" w:eastAsia="zh-CN"/>
              </w:rPr>
              <w:t>按适当比例构成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4" w:type="dxa"/>
            <w:shd w:val="clear" w:color="auto" w:fill="auto"/>
            <w:noWrap w:val="0"/>
            <w:vAlign w:val="center"/>
          </w:tcPr>
          <w:p>
            <w:pPr>
              <w:spacing w:line="240" w:lineRule="auto"/>
              <w:jc w:val="center"/>
              <w:rPr>
                <w:rFonts w:hint="eastAsia"/>
                <w:sz w:val="18"/>
                <w:szCs w:val="18"/>
              </w:rPr>
            </w:pPr>
            <w:r>
              <w:rPr>
                <w:rFonts w:hint="eastAsia"/>
                <w:sz w:val="18"/>
                <w:szCs w:val="18"/>
                <w:lang w:val="en-US" w:eastAsia="zh-CN"/>
              </w:rPr>
              <w:t>增值</w:t>
            </w:r>
            <w:r>
              <w:rPr>
                <w:rFonts w:hint="eastAsia"/>
                <w:sz w:val="18"/>
                <w:szCs w:val="18"/>
              </w:rPr>
              <w:t>性评价</w:t>
            </w:r>
          </w:p>
        </w:tc>
        <w:tc>
          <w:tcPr>
            <w:tcW w:w="2835" w:type="dxa"/>
            <w:shd w:val="clear" w:color="auto" w:fill="auto"/>
            <w:noWrap w:val="0"/>
            <w:vAlign w:val="center"/>
          </w:tcPr>
          <w:p>
            <w:pPr>
              <w:spacing w:line="240" w:lineRule="auto"/>
              <w:jc w:val="left"/>
              <w:rPr>
                <w:rFonts w:hint="eastAsia"/>
                <w:sz w:val="18"/>
                <w:szCs w:val="18"/>
              </w:rPr>
            </w:pPr>
            <w:r>
              <w:rPr>
                <w:rFonts w:hint="eastAsia"/>
                <w:sz w:val="18"/>
                <w:szCs w:val="18"/>
              </w:rPr>
              <w:t>优秀作品展示、学习典型示范、班级氛围带动、课堂积极鼓励</w:t>
            </w:r>
            <w:r>
              <w:rPr>
                <w:rFonts w:hint="eastAsia"/>
                <w:sz w:val="18"/>
                <w:szCs w:val="18"/>
                <w:lang w:eastAsia="zh-CN"/>
              </w:rPr>
              <w:t>、</w:t>
            </w:r>
            <w:r>
              <w:rPr>
                <w:rFonts w:hint="eastAsia"/>
                <w:sz w:val="18"/>
                <w:szCs w:val="18"/>
              </w:rPr>
              <w:t>成绩显著提升者</w:t>
            </w:r>
          </w:p>
        </w:tc>
        <w:tc>
          <w:tcPr>
            <w:tcW w:w="850" w:type="dxa"/>
            <w:shd w:val="clear" w:color="auto" w:fill="auto"/>
            <w:noWrap w:val="0"/>
            <w:vAlign w:val="center"/>
          </w:tcPr>
          <w:p>
            <w:pPr>
              <w:spacing w:line="240" w:lineRule="auto"/>
              <w:jc w:val="center"/>
              <w:rPr>
                <w:rFonts w:hint="eastAsia"/>
                <w:sz w:val="18"/>
                <w:szCs w:val="18"/>
              </w:rPr>
            </w:pPr>
            <w:r>
              <w:rPr>
                <w:rFonts w:hint="eastAsia"/>
                <w:sz w:val="18"/>
                <w:szCs w:val="18"/>
                <w:lang w:val="en-US" w:eastAsia="zh-CN"/>
              </w:rPr>
              <w:t>100</w:t>
            </w:r>
          </w:p>
        </w:tc>
        <w:tc>
          <w:tcPr>
            <w:tcW w:w="850" w:type="dxa"/>
            <w:shd w:val="clear" w:color="auto" w:fill="auto"/>
            <w:noWrap w:val="0"/>
            <w:vAlign w:val="center"/>
          </w:tcPr>
          <w:p>
            <w:pPr>
              <w:spacing w:line="240" w:lineRule="auto"/>
              <w:jc w:val="center"/>
              <w:rPr>
                <w:rFonts w:hint="default"/>
                <w:sz w:val="18"/>
                <w:szCs w:val="18"/>
                <w:lang w:val="en-US" w:eastAsia="zh-CN"/>
              </w:rPr>
            </w:pPr>
            <w:r>
              <w:rPr>
                <w:rFonts w:hint="eastAsia"/>
                <w:sz w:val="18"/>
                <w:szCs w:val="18"/>
                <w:lang w:val="en-US" w:eastAsia="zh-CN"/>
              </w:rPr>
              <w:t>5%</w:t>
            </w:r>
          </w:p>
        </w:tc>
        <w:tc>
          <w:tcPr>
            <w:tcW w:w="2674" w:type="dxa"/>
            <w:shd w:val="clear" w:color="auto" w:fill="auto"/>
            <w:noWrap w:val="0"/>
            <w:vAlign w:val="center"/>
          </w:tcPr>
          <w:p>
            <w:pPr>
              <w:spacing w:line="240" w:lineRule="auto"/>
              <w:jc w:val="center"/>
              <w:rPr>
                <w:rFonts w:hint="eastAsia"/>
                <w:sz w:val="18"/>
                <w:szCs w:val="18"/>
              </w:rPr>
            </w:pPr>
            <w:r>
              <w:rPr>
                <w:rFonts w:hint="eastAsia"/>
                <w:sz w:val="18"/>
                <w:szCs w:val="18"/>
                <w:lang w:val="en-US" w:eastAsia="zh-CN"/>
              </w:rPr>
              <w:t>课程学习全过程</w:t>
            </w:r>
          </w:p>
        </w:tc>
      </w:tr>
    </w:tbl>
    <w:p>
      <w:pPr>
        <w:numPr>
          <w:ilvl w:val="0"/>
          <w:numId w:val="1"/>
        </w:numPr>
        <w:spacing w:line="400" w:lineRule="exact"/>
        <w:ind w:firstLine="480" w:firstLineChars="200"/>
        <w:rPr>
          <w:rFonts w:hint="eastAsia" w:ascii="黑体" w:eastAsia="黑体"/>
          <w:sz w:val="24"/>
          <w:highlight w:val="none"/>
        </w:rPr>
      </w:pPr>
      <w:r>
        <w:rPr>
          <w:rFonts w:hint="eastAsia" w:ascii="黑体" w:eastAsia="黑体"/>
          <w:sz w:val="24"/>
          <w:highlight w:val="none"/>
        </w:rPr>
        <w:t>结语</w:t>
      </w:r>
    </w:p>
    <w:p>
      <w:pPr>
        <w:ind w:firstLine="420" w:firstLineChars="200"/>
        <w:rPr>
          <w:rFonts w:hint="default" w:ascii="楷体_GB2312" w:hAnsi="宋体" w:eastAsia="楷体_GB2312" w:cs="Times New Roman"/>
          <w:b w:val="0"/>
          <w:bCs w:val="0"/>
          <w:color w:val="auto"/>
          <w:kern w:val="2"/>
          <w:sz w:val="21"/>
          <w:szCs w:val="21"/>
          <w:lang w:val="en-US" w:eastAsia="zh-CN" w:bidi="ar-SA"/>
        </w:rPr>
      </w:pPr>
      <w:r>
        <w:rPr>
          <w:rFonts w:hint="eastAsia"/>
          <w:highlight w:val="none"/>
          <w:lang w:val="en-US" w:eastAsia="zh-CN"/>
        </w:rPr>
        <w:t>课程思政建设是教育新发展阶段对教师教学能力、专业素养提出的新挑战，亦是践行中共中央全员育人、全程育人、全方位育人的并由之路。作为高等职业教育的主要力量，高等职业院校教师应提高政治觉悟，紧跟政策领导，为社会培养符合时代要求的人才；应端正思想态度，以课程思政要求规范自身言行，立己德而荫桃李；应贯彻教育行动，深耕专业领域，以专业能力持续进步浇灌思政萌育沃土。目前，《物理因子治疗技术》课程申报校级“课程思政”试点建设项目获批立项，课程建设期间已完成课程思政教学案例设计及相关课件、微视频制作；后续将继续更新课程资源并用于课程实际教学，不断针对学生反馈及课程评价进行优化调整，真正实现知识传授与价值引领的结合，构建全课程育人格局。</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B3DAA"/>
    <w:multiLevelType w:val="singleLevel"/>
    <w:tmpl w:val="822B3DAA"/>
    <w:lvl w:ilvl="0" w:tentative="0">
      <w:start w:val="1"/>
      <w:numFmt w:val="decimal"/>
      <w:suff w:val="nothing"/>
      <w:lvlText w:val="%1、"/>
      <w:lvlJc w:val="left"/>
    </w:lvl>
  </w:abstractNum>
  <w:abstractNum w:abstractNumId="1">
    <w:nsid w:val="861F1117"/>
    <w:multiLevelType w:val="singleLevel"/>
    <w:tmpl w:val="861F1117"/>
    <w:lvl w:ilvl="0" w:tentative="0">
      <w:start w:val="1"/>
      <w:numFmt w:val="chineseCounting"/>
      <w:suff w:val="nothing"/>
      <w:lvlText w:val="（%1）"/>
      <w:lvlJc w:val="left"/>
      <w:pPr>
        <w:ind w:left="-2"/>
      </w:pPr>
      <w:rPr>
        <w:rFonts w:hint="eastAsia"/>
      </w:rPr>
    </w:lvl>
  </w:abstractNum>
  <w:abstractNum w:abstractNumId="2">
    <w:nsid w:val="874E1454"/>
    <w:multiLevelType w:val="singleLevel"/>
    <w:tmpl w:val="874E1454"/>
    <w:lvl w:ilvl="0" w:tentative="0">
      <w:start w:val="1"/>
      <w:numFmt w:val="decimal"/>
      <w:suff w:val="nothing"/>
      <w:lvlText w:val="%1."/>
      <w:lvlJc w:val="left"/>
      <w:pPr>
        <w:ind w:left="0" w:firstLine="420"/>
      </w:pPr>
    </w:lvl>
  </w:abstractNum>
  <w:abstractNum w:abstractNumId="3">
    <w:nsid w:val="96616041"/>
    <w:multiLevelType w:val="singleLevel"/>
    <w:tmpl w:val="96616041"/>
    <w:lvl w:ilvl="0" w:tentative="0">
      <w:start w:val="1"/>
      <w:numFmt w:val="decimal"/>
      <w:suff w:val="nothing"/>
      <w:lvlText w:val="%1、"/>
      <w:lvlJc w:val="left"/>
    </w:lvl>
  </w:abstractNum>
  <w:abstractNum w:abstractNumId="4">
    <w:nsid w:val="977DBC95"/>
    <w:multiLevelType w:val="singleLevel"/>
    <w:tmpl w:val="977DBC95"/>
    <w:lvl w:ilvl="0" w:tentative="0">
      <w:start w:val="1"/>
      <w:numFmt w:val="decimal"/>
      <w:suff w:val="nothing"/>
      <w:lvlText w:val="%1、"/>
      <w:lvlJc w:val="left"/>
    </w:lvl>
  </w:abstractNum>
  <w:abstractNum w:abstractNumId="5">
    <w:nsid w:val="9F1992B3"/>
    <w:multiLevelType w:val="singleLevel"/>
    <w:tmpl w:val="9F1992B3"/>
    <w:lvl w:ilvl="0" w:tentative="0">
      <w:start w:val="1"/>
      <w:numFmt w:val="chineseCounting"/>
      <w:suff w:val="nothing"/>
      <w:lvlText w:val="（%1）"/>
      <w:lvlJc w:val="left"/>
      <w:rPr>
        <w:rFonts w:hint="eastAsia"/>
      </w:rPr>
    </w:lvl>
  </w:abstractNum>
  <w:abstractNum w:abstractNumId="6">
    <w:nsid w:val="9F9A0325"/>
    <w:multiLevelType w:val="singleLevel"/>
    <w:tmpl w:val="9F9A0325"/>
    <w:lvl w:ilvl="0" w:tentative="0">
      <w:start w:val="1"/>
      <w:numFmt w:val="decimal"/>
      <w:suff w:val="nothing"/>
      <w:lvlText w:val="%1、"/>
      <w:lvlJc w:val="left"/>
    </w:lvl>
  </w:abstractNum>
  <w:abstractNum w:abstractNumId="7">
    <w:nsid w:val="D2877664"/>
    <w:multiLevelType w:val="singleLevel"/>
    <w:tmpl w:val="D2877664"/>
    <w:lvl w:ilvl="0" w:tentative="0">
      <w:start w:val="1"/>
      <w:numFmt w:val="decimal"/>
      <w:suff w:val="nothing"/>
      <w:lvlText w:val="%1、"/>
      <w:lvlJc w:val="left"/>
    </w:lvl>
  </w:abstractNum>
  <w:abstractNum w:abstractNumId="8">
    <w:nsid w:val="DB6746D3"/>
    <w:multiLevelType w:val="singleLevel"/>
    <w:tmpl w:val="DB6746D3"/>
    <w:lvl w:ilvl="0" w:tentative="0">
      <w:start w:val="1"/>
      <w:numFmt w:val="decimal"/>
      <w:suff w:val="nothing"/>
      <w:lvlText w:val="%1、"/>
      <w:lvlJc w:val="left"/>
    </w:lvl>
  </w:abstractNum>
  <w:abstractNum w:abstractNumId="9">
    <w:nsid w:val="E196788D"/>
    <w:multiLevelType w:val="singleLevel"/>
    <w:tmpl w:val="E196788D"/>
    <w:lvl w:ilvl="0" w:tentative="0">
      <w:start w:val="1"/>
      <w:numFmt w:val="decimal"/>
      <w:suff w:val="nothing"/>
      <w:lvlText w:val="%1、"/>
      <w:lvlJc w:val="left"/>
    </w:lvl>
  </w:abstractNum>
  <w:abstractNum w:abstractNumId="10">
    <w:nsid w:val="E713E2E8"/>
    <w:multiLevelType w:val="singleLevel"/>
    <w:tmpl w:val="E713E2E8"/>
    <w:lvl w:ilvl="0" w:tentative="0">
      <w:start w:val="1"/>
      <w:numFmt w:val="decimal"/>
      <w:suff w:val="nothing"/>
      <w:lvlText w:val="（%1）"/>
      <w:lvlJc w:val="left"/>
    </w:lvl>
  </w:abstractNum>
  <w:abstractNum w:abstractNumId="11">
    <w:nsid w:val="E9D6AF9B"/>
    <w:multiLevelType w:val="singleLevel"/>
    <w:tmpl w:val="E9D6AF9B"/>
    <w:lvl w:ilvl="0" w:tentative="0">
      <w:start w:val="1"/>
      <w:numFmt w:val="decimal"/>
      <w:suff w:val="nothing"/>
      <w:lvlText w:val="%1、"/>
      <w:lvlJc w:val="left"/>
    </w:lvl>
  </w:abstractNum>
  <w:abstractNum w:abstractNumId="12">
    <w:nsid w:val="F2A836E2"/>
    <w:multiLevelType w:val="singleLevel"/>
    <w:tmpl w:val="F2A836E2"/>
    <w:lvl w:ilvl="0" w:tentative="0">
      <w:start w:val="1"/>
      <w:numFmt w:val="decimal"/>
      <w:suff w:val="nothing"/>
      <w:lvlText w:val="%1、"/>
      <w:lvlJc w:val="left"/>
    </w:lvl>
  </w:abstractNum>
  <w:abstractNum w:abstractNumId="13">
    <w:nsid w:val="F8FE3E06"/>
    <w:multiLevelType w:val="singleLevel"/>
    <w:tmpl w:val="F8FE3E06"/>
    <w:lvl w:ilvl="0" w:tentative="0">
      <w:start w:val="1"/>
      <w:numFmt w:val="decimal"/>
      <w:suff w:val="nothing"/>
      <w:lvlText w:val="%1、"/>
      <w:lvlJc w:val="left"/>
    </w:lvl>
  </w:abstractNum>
  <w:abstractNum w:abstractNumId="14">
    <w:nsid w:val="04E7D4C6"/>
    <w:multiLevelType w:val="singleLevel"/>
    <w:tmpl w:val="04E7D4C6"/>
    <w:lvl w:ilvl="0" w:tentative="0">
      <w:start w:val="1"/>
      <w:numFmt w:val="decimal"/>
      <w:suff w:val="nothing"/>
      <w:lvlText w:val="%1、"/>
      <w:lvlJc w:val="left"/>
    </w:lvl>
  </w:abstractNum>
  <w:abstractNum w:abstractNumId="15">
    <w:nsid w:val="07ADB287"/>
    <w:multiLevelType w:val="singleLevel"/>
    <w:tmpl w:val="07ADB287"/>
    <w:lvl w:ilvl="0" w:tentative="0">
      <w:start w:val="1"/>
      <w:numFmt w:val="decimal"/>
      <w:suff w:val="nothing"/>
      <w:lvlText w:val="%1."/>
      <w:lvlJc w:val="left"/>
      <w:pPr>
        <w:ind w:left="0" w:firstLine="420"/>
      </w:pPr>
    </w:lvl>
  </w:abstractNum>
  <w:abstractNum w:abstractNumId="16">
    <w:nsid w:val="0AE6F5FF"/>
    <w:multiLevelType w:val="singleLevel"/>
    <w:tmpl w:val="0AE6F5FF"/>
    <w:lvl w:ilvl="0" w:tentative="0">
      <w:start w:val="1"/>
      <w:numFmt w:val="decimal"/>
      <w:suff w:val="nothing"/>
      <w:lvlText w:val="%1、"/>
      <w:lvlJc w:val="left"/>
    </w:lvl>
  </w:abstractNum>
  <w:abstractNum w:abstractNumId="17">
    <w:nsid w:val="0F1B3C2B"/>
    <w:multiLevelType w:val="singleLevel"/>
    <w:tmpl w:val="0F1B3C2B"/>
    <w:lvl w:ilvl="0" w:tentative="0">
      <w:start w:val="1"/>
      <w:numFmt w:val="decimal"/>
      <w:suff w:val="nothing"/>
      <w:lvlText w:val="%1、"/>
      <w:lvlJc w:val="left"/>
    </w:lvl>
  </w:abstractNum>
  <w:abstractNum w:abstractNumId="18">
    <w:nsid w:val="11EED2B5"/>
    <w:multiLevelType w:val="singleLevel"/>
    <w:tmpl w:val="11EED2B5"/>
    <w:lvl w:ilvl="0" w:tentative="0">
      <w:start w:val="1"/>
      <w:numFmt w:val="decimal"/>
      <w:suff w:val="nothing"/>
      <w:lvlText w:val="%1、"/>
      <w:lvlJc w:val="left"/>
    </w:lvl>
  </w:abstractNum>
  <w:abstractNum w:abstractNumId="19">
    <w:nsid w:val="1426C232"/>
    <w:multiLevelType w:val="singleLevel"/>
    <w:tmpl w:val="1426C232"/>
    <w:lvl w:ilvl="0" w:tentative="0">
      <w:start w:val="1"/>
      <w:numFmt w:val="decimal"/>
      <w:suff w:val="nothing"/>
      <w:lvlText w:val="%1、"/>
      <w:lvlJc w:val="left"/>
    </w:lvl>
  </w:abstractNum>
  <w:abstractNum w:abstractNumId="20">
    <w:nsid w:val="22A935F8"/>
    <w:multiLevelType w:val="singleLevel"/>
    <w:tmpl w:val="22A935F8"/>
    <w:lvl w:ilvl="0" w:tentative="0">
      <w:start w:val="1"/>
      <w:numFmt w:val="decimal"/>
      <w:suff w:val="nothing"/>
      <w:lvlText w:val="%1、"/>
      <w:lvlJc w:val="left"/>
    </w:lvl>
  </w:abstractNum>
  <w:abstractNum w:abstractNumId="21">
    <w:nsid w:val="35F79DEE"/>
    <w:multiLevelType w:val="singleLevel"/>
    <w:tmpl w:val="35F79DEE"/>
    <w:lvl w:ilvl="0" w:tentative="0">
      <w:start w:val="1"/>
      <w:numFmt w:val="decimal"/>
      <w:suff w:val="nothing"/>
      <w:lvlText w:val="%1、"/>
      <w:lvlJc w:val="left"/>
    </w:lvl>
  </w:abstractNum>
  <w:abstractNum w:abstractNumId="22">
    <w:nsid w:val="37B0B99F"/>
    <w:multiLevelType w:val="singleLevel"/>
    <w:tmpl w:val="37B0B99F"/>
    <w:lvl w:ilvl="0" w:tentative="0">
      <w:start w:val="1"/>
      <w:numFmt w:val="decimal"/>
      <w:suff w:val="nothing"/>
      <w:lvlText w:val="%1、"/>
      <w:lvlJc w:val="left"/>
    </w:lvl>
  </w:abstractNum>
  <w:abstractNum w:abstractNumId="23">
    <w:nsid w:val="409F8E49"/>
    <w:multiLevelType w:val="singleLevel"/>
    <w:tmpl w:val="409F8E49"/>
    <w:lvl w:ilvl="0" w:tentative="0">
      <w:start w:val="1"/>
      <w:numFmt w:val="decimal"/>
      <w:suff w:val="nothing"/>
      <w:lvlText w:val="%1、"/>
      <w:lvlJc w:val="left"/>
    </w:lvl>
  </w:abstractNum>
  <w:abstractNum w:abstractNumId="24">
    <w:nsid w:val="56A9B5AC"/>
    <w:multiLevelType w:val="singleLevel"/>
    <w:tmpl w:val="56A9B5AC"/>
    <w:lvl w:ilvl="0" w:tentative="0">
      <w:start w:val="1"/>
      <w:numFmt w:val="chineseCounting"/>
      <w:suff w:val="nothing"/>
      <w:lvlText w:val="%1、"/>
      <w:lvlJc w:val="left"/>
      <w:rPr>
        <w:rFonts w:hint="eastAsia"/>
      </w:rPr>
    </w:lvl>
  </w:abstractNum>
  <w:abstractNum w:abstractNumId="25">
    <w:nsid w:val="5B67566E"/>
    <w:multiLevelType w:val="singleLevel"/>
    <w:tmpl w:val="5B67566E"/>
    <w:lvl w:ilvl="0" w:tentative="0">
      <w:start w:val="1"/>
      <w:numFmt w:val="chineseCounting"/>
      <w:suff w:val="nothing"/>
      <w:lvlText w:val="（%1）"/>
      <w:lvlJc w:val="left"/>
      <w:rPr>
        <w:rFonts w:hint="eastAsia"/>
      </w:rPr>
    </w:lvl>
  </w:abstractNum>
  <w:abstractNum w:abstractNumId="26">
    <w:nsid w:val="642522B1"/>
    <w:multiLevelType w:val="singleLevel"/>
    <w:tmpl w:val="642522B1"/>
    <w:lvl w:ilvl="0" w:tentative="0">
      <w:start w:val="1"/>
      <w:numFmt w:val="decimal"/>
      <w:suff w:val="nothing"/>
      <w:lvlText w:val="%1、"/>
      <w:lvlJc w:val="left"/>
    </w:lvl>
  </w:abstractNum>
  <w:num w:numId="1">
    <w:abstractNumId w:val="24"/>
  </w:num>
  <w:num w:numId="2">
    <w:abstractNumId w:val="1"/>
  </w:num>
  <w:num w:numId="3">
    <w:abstractNumId w:val="16"/>
  </w:num>
  <w:num w:numId="4">
    <w:abstractNumId w:val="6"/>
  </w:num>
  <w:num w:numId="5">
    <w:abstractNumId w:val="7"/>
  </w:num>
  <w:num w:numId="6">
    <w:abstractNumId w:val="21"/>
  </w:num>
  <w:num w:numId="7">
    <w:abstractNumId w:val="22"/>
  </w:num>
  <w:num w:numId="8">
    <w:abstractNumId w:val="19"/>
  </w:num>
  <w:num w:numId="9">
    <w:abstractNumId w:val="0"/>
  </w:num>
  <w:num w:numId="10">
    <w:abstractNumId w:val="17"/>
  </w:num>
  <w:num w:numId="11">
    <w:abstractNumId w:val="26"/>
  </w:num>
  <w:num w:numId="12">
    <w:abstractNumId w:val="9"/>
  </w:num>
  <w:num w:numId="13">
    <w:abstractNumId w:val="4"/>
  </w:num>
  <w:num w:numId="14">
    <w:abstractNumId w:val="23"/>
  </w:num>
  <w:num w:numId="15">
    <w:abstractNumId w:val="3"/>
  </w:num>
  <w:num w:numId="16">
    <w:abstractNumId w:val="20"/>
  </w:num>
  <w:num w:numId="17">
    <w:abstractNumId w:val="12"/>
  </w:num>
  <w:num w:numId="18">
    <w:abstractNumId w:val="13"/>
  </w:num>
  <w:num w:numId="19">
    <w:abstractNumId w:val="18"/>
  </w:num>
  <w:num w:numId="20">
    <w:abstractNumId w:val="14"/>
  </w:num>
  <w:num w:numId="21">
    <w:abstractNumId w:val="11"/>
  </w:num>
  <w:num w:numId="22">
    <w:abstractNumId w:val="8"/>
  </w:num>
  <w:num w:numId="23">
    <w:abstractNumId w:val="25"/>
  </w:num>
  <w:num w:numId="24">
    <w:abstractNumId w:val="2"/>
  </w:num>
  <w:num w:numId="25">
    <w:abstractNumId w:val="10"/>
  </w:num>
  <w:num w:numId="26">
    <w:abstractNumId w:val="15"/>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2NTY4MjFkMGViNDljNDQ3NzQ3NjdlN2RmNTA3YWUifQ=="/>
  </w:docVars>
  <w:rsids>
    <w:rsidRoot w:val="09707F1F"/>
    <w:rsid w:val="09707F1F"/>
    <w:rsid w:val="2044505D"/>
    <w:rsid w:val="209D48B8"/>
    <w:rsid w:val="2E300A52"/>
    <w:rsid w:val="328101A4"/>
    <w:rsid w:val="35385DA2"/>
    <w:rsid w:val="38B57A79"/>
    <w:rsid w:val="5645161A"/>
    <w:rsid w:val="5E1A3148"/>
    <w:rsid w:val="6F3B7CA2"/>
    <w:rsid w:val="78CA75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widowControl w:val="0"/>
      <w:spacing w:before="260" w:after="260" w:line="416" w:lineRule="auto"/>
      <w:jc w:val="both"/>
      <w:outlineLvl w:val="1"/>
    </w:pPr>
    <w:rPr>
      <w:rFonts w:ascii="Calibri Light" w:hAnsi="Calibri Light" w:eastAsia="宋体" w:cs="Times New Roman"/>
      <w:b/>
      <w:bCs/>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2023-11-04T01:41:00Z</dcterms:created>
  <dc:creator>Golden Gao</dc:creator>
  <cp:lastModifiedBy>Golden Gao</cp:lastModifiedBy>
  <dcterms:modified xsi:type="dcterms:W3CDTF">2023-11-25T02:11:33Z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0FF241E20C9D4B1B92DC632E4111597C_11</vt:lpwstr>
  </property>
</Properties>
</file>